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PHM</w:t>
      </w:r>
      <w:r>
        <w:rPr>
          <w:rFonts w:ascii="Calibri" w:hAnsi="Calibri"/>
          <w:b/>
          <w:color w:val="1A2010"/>
          <w:sz w:val="40"/>
        </w:rPr>
        <w:t xml:space="preserve">  PulteGroup, Inc.</w:t>
      </w:r>
    </w:p>
    <w:p>
      <w:pPr>
        <w:spacing w:after="120"/>
      </w:pPr>
      <w:r>
        <w:rPr>
          <w:rFonts w:ascii="Calibri" w:hAnsi="Calibri"/>
          <w:b/>
          <w:color w:val="6E8450"/>
          <w:sz w:val="18"/>
        </w:rPr>
        <w:t>GROWTH SLEEVE · 2026-07-21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Residential Construction · NYSE · United States</w:t>
      </w:r>
    </w:p>
    <w:p>
      <w:pPr>
        <w:spacing w:after="80"/>
      </w:pPr>
      <w:r>
        <w:rPr>
          <w:rFonts w:ascii="Calibri" w:hAnsi="Calibri"/>
          <w:b w:val="0"/>
          <w:color w:val="3A4A28"/>
          <w:sz w:val="20"/>
        </w:rPr>
        <w:t>PulteGroup is one of America's largest homebuilders, constructing and selling single-family detached and attached homes across the United States under the Pulte Homes, Del Webb, Centex, and DiVosta brands. The company also operates mortgage banking, title, and insurance subsidiaries. PulteGroup closed approximately 29,572 homes in FY2025 generating $17.3B in revenue.</w:t>
      </w:r>
    </w:p>
    <w:p>
      <w:r>
        <w:rPr>
          <w:rFonts w:ascii="Calibri" w:hAnsi="Calibri"/>
          <w:b/>
          <w:color w:val="6E8450"/>
          <w:sz w:val="18"/>
        </w:rPr>
        <w:t>6,500 Employees · https://pultegroupinc.com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PulteGroup has executed a multi-year strategic pivot toward higher-margin segments, expanding the Del Webb active adult brand to capitalize on Baby Boomer retirement and growing the first-time buyer segment through Centex. Community count increased 9% to 1,043 in Q1 2026 despite revenue headwinds [1]. The streamlining of floor plans from 3,500 to 500 unique layouts represents significant operational innovation. AI Deployment (1/2): PulteGroup piloted robotic-assisted construction using FBR's Hadrian X AI-guided system at Babcock Ranch and invested in cloud applications and AI-driven platforms with Microsoft and AT&amp;T for operational optimization [2]. These remain pilots rather than scaled deployments. Market Share (1/2): PulteGroup is the third-largest U.S. homebuilder by closings, with meaningful share across entry-level, move-up, and active adult segments, though trailing D.R. Horton and Lennar in volume [1]. Pipeline (1/2): Full year 2026 guidance of 28,500-29,000 closings with $5.4B land spend signals continued investment in future growth. Innovation Way living laboratory at Babcock Ranch tests smart home and vehicle-to-home power solutions [1][2]. R&amp;D Intensity (1/1): Investment in construction technology, robotic pilots, and smart home innovation exceeds typical homebuilder R&amp;D spend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PulteGroup's stated purpose is 'Building Incredible Places Where People Can Live Their Dreams,' a clear mission connecting its work to homeownership aspirations but not distinctively different from peer homebuilders [3]. The company is built on founder Bill Pulte's guiding principle of 'Do the Right Thing,' which connects business execution to ethical standards. Community Impact (2/2): PulteGroup operates PulteCares, a robust corporate social responsibility program. The company committed to 100% ENERGY STAR certified homes and actively builds affordable housing through its Centex brand [3]. Sustainability programs include waste reduction, energy-efficient construction, and responsible land development — genuine community investment with measurable impact. Employee Retention (1/2): CEO Ryan Marshall has led since 2016, providing 10 years of leadership continuity uncommon in the homebuilding industry. Pay-for-performance compensation structure (annual incentives at 84% of target, 2023-2025 performance awards at 198.17% of target) aligns interests [4]. Insider Buying (0/2): Net insider selling continues — Director Lila Snyder sold 3,339 shares ($391,264) in May 2026, and CEO Marshall sold 111,250 shares ($14.9M) in February 2026 with combined insider sales of $20.2M over 90 days and zero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PulteGroup's balance sheet is exceptionally strong for a homebuilder — D/E of just 19% with $1.81B in cash against $2.45B in debt [1][5]. ROE of 16.2% exceeds the 15% target. Revenue of $17.3B declined 3.6% YoY from the 2024 peak of $17.9B due to housing market softening, but the 5-year CAGR of approximately 10% reflects strong secular growth [1]. Forward P/E of 12.4x is deeply discounted, well below the 20 target. PEG ratio of 1.58 scores 0.71 against the 1.0 target. Profit margin of 12.1% is below the 20% target but typical for homebuilding. Q1 2026 closings revenue was $3.3B with net income of $347M and EPS of $1.79 [1]. Guided FY2026 gross margin of 24.1-24.4% with ~$1B operating cash flow. Liquidity floor cleared: 2.0M avg volume x $126.08 = $252M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PulteGroup under Ryan Marshall demonstrates meaningful infinite game characteristics — a decade of consistent leadership, disciplined balance sheet management during cyclical swings, and investment in next-generation construction technology. The company's 76-year history and multi-brand portfolio reflect a business built for endurance across housing cycles, though its strategic vision lacks a transformative Just Cause beyond building quality homes.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PulteGroup's purpose of enabling homeownership across life stages — first-time buyers (Centex), move-up families (Pulte Homes), and active adults (Del Webb) — is genuine and partially lived out through 76 years of consistent execution since 1950 [1][3]. The founding principle of 'Do the Right Thing' has survived multiple leadership transitions and housing cycles. The multi-brand strategy serves different demographics rather than maximizing revenue from a single segment. The commitment to ENERGY STAR certification and sustainable building adds depth. However, this is not a transformative vision that inspires beyond the obvious — it's a well-executed business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Ryan Marshall's 10-year CEO tenure provides leadership stability uncommon in the homebuilding industry [2]. The 2026 proxy statement added Director Kristin Gannon and nominated Benjamin Schall, demonstrating governance refreshment [4]. Executive compensation is heavily performance-based (198.17% payout on 2023-2025 performance awards reflects execution). However, the inherently decentralized nature of homebuilding operations can create cultural inconsistency across divisions, and no specific evidence of exceptional employee trust or empowerment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PulteGroup's competitive positioning acknowledges D.R. Horton's volume leadership and Meritage Homes' energy efficiency leadership as motivation to improve its own offerings. The company's investment in Innovation Way to test next-generation construction technologies reflects a learning mindset — improving capabilities rather than simply trying to beat competitors on volume [2]. Management's focus on ROIC as the key metric rather than market share demonstrates an internally-focused improvement orientation.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PulteGroup has evolved incrementally over its 76-year history — from a regional Michigan builder to a national multi-brand platform spanning entry-level, move-up, and active adult markets [1]. The recent divestiture of ICG (factory building) shows willingness to exit businesses that aren't working. The investment in robotic construction and smart home technology shows adaptation. However, these are incremental extensions rather than transformative pivots — the core business has always been homebuilding.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Marshall has demonstrated financial discipline during the housing boom — maintaining a conservative 19% D/E ratio while peers leveraged up, and investing $5.4B in land spend for future growth [1]. The commitment to 100% ENERGY STAR certified homes represents a principled stance that costs more upfront. The decision to divest ICG when factory-built construction costs proved challenging shows willingness to make tough exits. However, no evidence of truly courageous decisions that sacrificed near-term earnings for transformative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PulteGroup is a top-tier homebuilder trading at a deep value multiple of 12.4x forward P/E with fortress balance sheet quality — 19% D/E, $1.81B cash, $1.0B guided operating cash flow, and 16.2% ROE [1][5]. Q1 2026 showed strong forward indicators despite 12% revenue decline: net new orders of 8,034 homes valued at $4.6B and community count up 9% to 1,043 signal robust demand pipeline [1]. The multi-brand portfolio (Centex, Pulte Homes, Del Webb, DiVosta) provides diversified exposure across demographics, reducing cyclical risk. Dividend growth of 18% (to $0.26/quarter) and a new $1B share repurchase program demonstrate capital return discipline. At current levels, the stock is priced for housing market pessimism while delivering builder-leading margins and returns on capital.</w:t>
      </w:r>
    </w:p>
    <w:p>
      <w:pPr>
        <w:spacing w:after="120"/>
      </w:pPr>
      <w:r>
        <w:rPr>
          <w:rFonts w:ascii="Calibri" w:hAnsi="Calibri"/>
          <w:b w:val="0"/>
          <w:color w:val="3A4A28"/>
          <w:sz w:val="20"/>
        </w:rPr>
        <w:t>The bear case centers on housing cycle risk and margin compression. Q1 2026 revenues declined 12% to $3.3B as higher mortgage rates suppressed demand, and average sales price decreased 5% to $542K, suggesting pricing power erosion [1]. FY2025 revenue of $17.3B declined 3.6% from the FY2024 peak of $17.9B, and FY2026 guidance of 28,500-29,000 closings implies further volume pressure [1]. Gross margin guidance of 24.1-24.4% is below cycle highs, and rising incentives signal competitive pressure. Homebuilding faces secular affordability headwinds — median home prices remain stretched relative to incomes, and any recession would amplify the cyclical downturn. Significant insider selling ($20.2M over 90 days including CEO Marshall's $14.9M sale) adds cautionary signals despite strong operational execution [4]. The divestiture of ICG factory building suggests innovation bets don't always work in the capital-intensive homebuilding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below 6% would unlock substantial pent-up housing demand across PulteGroup's entry-level and move-up segments, with 8,034 Q1 orders valued at $4.6B already demonstrating latent demand [1]</w:t>
      </w:r>
    </w:p>
    <w:p>
      <w:pPr>
        <w:spacing w:before="40" w:after="40"/>
        <w:ind w:left="283"/>
      </w:pPr>
      <w:r>
        <w:rPr>
          <w:rFonts w:ascii="Calibri" w:hAnsi="Calibri"/>
          <w:b/>
          <w:color w:val="4A6B25"/>
          <w:sz w:val="20"/>
        </w:rPr>
        <w:t xml:space="preserve">2. </w:t>
      </w:r>
      <w:r>
        <w:rPr>
          <w:rFonts w:ascii="Calibri" w:hAnsi="Calibri"/>
          <w:b w:val="0"/>
          <w:color w:val="3A4A28"/>
          <w:sz w:val="20"/>
        </w:rPr>
        <w:t>Del Webb active adult segment growth as 10,000+ Baby Boomers retire daily, driving demand for age-restricted communities at premium average selling prices [1]</w:t>
      </w:r>
    </w:p>
    <w:p>
      <w:pPr>
        <w:spacing w:before="40" w:after="40"/>
        <w:ind w:left="283"/>
      </w:pPr>
      <w:r>
        <w:rPr>
          <w:rFonts w:ascii="Calibri" w:hAnsi="Calibri"/>
          <w:b/>
          <w:color w:val="4A6B25"/>
          <w:sz w:val="20"/>
        </w:rPr>
        <w:t xml:space="preserve">3. </w:t>
      </w:r>
      <w:r>
        <w:rPr>
          <w:rFonts w:ascii="Calibri" w:hAnsi="Calibri"/>
          <w:b w:val="0"/>
          <w:color w:val="3A4A28"/>
          <w:sz w:val="20"/>
        </w:rPr>
        <w:t>Robotic construction and AI-driven efficiency pilots scaling from Innovation Way to production communities, reducing build cycle times and labor costs below current levels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persistence above 7% could suppress closings below 2026 guidance of 28,500-29,000 and compress gross margins below the 24.1% guidance floor [1]</w:t>
      </w:r>
    </w:p>
    <w:p>
      <w:pPr>
        <w:spacing w:before="40" w:after="40"/>
        <w:ind w:left="283"/>
      </w:pPr>
      <w:r>
        <w:rPr>
          <w:rFonts w:ascii="Calibri" w:hAnsi="Calibri"/>
          <w:b/>
          <w:color w:val="4A6B25"/>
          <w:sz w:val="20"/>
        </w:rPr>
        <w:t xml:space="preserve">2. </w:t>
      </w:r>
      <w:r>
        <w:rPr>
          <w:rFonts w:ascii="Calibri" w:hAnsi="Calibri"/>
          <w:b w:val="0"/>
          <w:color w:val="3A4A28"/>
          <w:sz w:val="20"/>
        </w:rPr>
        <w:t>Land portfolio write-down risk — $5.4B annual land spend creates significant impairment exposure if housing demand deteriorates materially in a recessionary environment [1]</w:t>
      </w:r>
    </w:p>
    <w:p>
      <w:pPr>
        <w:spacing w:before="40" w:after="40"/>
        <w:ind w:left="283"/>
      </w:pPr>
      <w:r>
        <w:rPr>
          <w:rFonts w:ascii="Calibri" w:hAnsi="Calibri"/>
          <w:b/>
          <w:color w:val="4A6B25"/>
          <w:sz w:val="20"/>
        </w:rPr>
        <w:t xml:space="preserve">3. </w:t>
      </w:r>
      <w:r>
        <w:rPr>
          <w:rFonts w:ascii="Calibri" w:hAnsi="Calibri"/>
          <w:b w:val="0"/>
          <w:color w:val="3A4A28"/>
          <w:sz w:val="20"/>
        </w:rPr>
        <w:t>Tariff and materials cost inflation — lumber, concrete, and imported building materials face potential tariff-driven cost increases that compress margins if not passed through to home buyers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Homebuilding is a fundamentally physical-world business — constructing homes requires land acquisition, local permitting, skilled labor, materials logistics, and on-site construction that AI cannot replace [1]. PulteGroup's core business is structurally immune to AI substitution. Housing demand is driven by demographics, interest rates, and household formation, none of which are threatened by AI. Regulatory moats (building codes, zoning, permits) add additional protection. The company's mortgage banking subsidiary faces modest AI exposure from automated underwriting, but this is a small profit contributor. AI Opportunity (1/1): PulteGroup is deploying AI to improve operations — the Hadrian X robotic wall construction pilot, AI-driven supply chain optimization, smart home automation, and AI-powered design tools represent tangible operational enhancement that reduces costs rather than being disrupted by AI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PulteGroup Q1 2026 Financial Results — $3.3B revenue, $347M net income, 8,034 net new orders, community count up 9% to 1,043, April 2026</w:t>
      </w:r>
    </w:p>
    <w:p>
      <w:pPr>
        <w:spacing w:before="20" w:after="20"/>
        <w:ind w:left="170"/>
      </w:pPr>
      <w:r>
        <w:rPr>
          <w:rFonts w:ascii="Calibri" w:hAnsi="Calibri"/>
          <w:b/>
          <w:color w:val="4A6B25"/>
          <w:sz w:val="15"/>
        </w:rPr>
        <w:t xml:space="preserve">2. </w:t>
      </w:r>
      <w:r>
        <w:rPr>
          <w:rFonts w:ascii="Calibri" w:hAnsi="Calibri"/>
          <w:b w:val="0"/>
          <w:color w:val="3A4A28"/>
          <w:sz w:val="17"/>
        </w:rPr>
        <w:t>PulteGroup Innovation and Technology — Hadrian X robotic construction pilot, Innovation Way laboratory, ICG divestiture, HousingWire, 2025-2026</w:t>
      </w:r>
    </w:p>
    <w:p>
      <w:pPr>
        <w:spacing w:before="20" w:after="20"/>
        <w:ind w:left="170"/>
      </w:pPr>
      <w:r>
        <w:rPr>
          <w:rFonts w:ascii="Calibri" w:hAnsi="Calibri"/>
          <w:b/>
          <w:color w:val="4A6B25"/>
          <w:sz w:val="15"/>
        </w:rPr>
        <w:t xml:space="preserve">3. </w:t>
      </w:r>
      <w:r>
        <w:rPr>
          <w:rFonts w:ascii="Calibri" w:hAnsi="Calibri"/>
          <w:b w:val="0"/>
          <w:color w:val="3A4A28"/>
          <w:sz w:val="17"/>
        </w:rPr>
        <w:t>PulteGroup Corporate Values and Sustainability — PulteCares, ENERGY STAR commitment, 'Do the Right Thing' principle, pultegroupinc.com,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PulteGroup 2026 Proxy Statement and Insider Transactions — Director elections, executive compensation, CEO Marshall $14.9M sale, Director Snyder $391K sale,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PHM Key Statistics: $126.08 price, 12.44 Forward P/E, 16.18% ROE, 19% D/E,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