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PNC</w:t>
      </w:r>
      <w:r>
        <w:rPr>
          <w:rFonts w:ascii="Calibri" w:hAnsi="Calibri"/>
          <w:b/>
          <w:color w:val="1A2010"/>
          <w:sz w:val="40"/>
        </w:rPr>
        <w:t xml:space="preserve">  The PNC Financial Services Group, Inc.</w:t>
      </w:r>
    </w:p>
    <w:p>
      <w:pPr>
        <w:spacing w:after="120"/>
      </w:pPr>
      <w:r>
        <w:rPr>
          <w:rFonts w:ascii="Calibri" w:hAnsi="Calibri"/>
          <w:b/>
          <w:color w:val="6E8450"/>
          <w:sz w:val="18"/>
        </w:rPr>
        <w:t>DIVIDEND SLEEVE · 2026-07-11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The PNC Financial Services Group, Inc. operates as a diversified financial services company in the United States through Retail Banking, Corporate &amp; Institutional Banking, and Asset Management Group segments. Following the 2026 acquisition of FirstBank, PNC has become one of the largest US regional banks with $458B+ in deposits.</w:t>
      </w:r>
    </w:p>
    <w:p>
      <w:r>
        <w:rPr>
          <w:rFonts w:ascii="Calibri" w:hAnsi="Calibri"/>
          <w:b/>
          <w:color w:val="6E8450"/>
          <w:sz w:val="18"/>
        </w:rPr>
        <w:t>56,366 Employees · https://www.pnc.com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January 2026 acquisition of FirstBank demonstrates strategic M&amp;A execution, growing PNC's footprint, but represents scale expansion rather than business model innovation [1]. AI Deployment (1/2): PNC has deployed AI-powered tools in fraud detection, customer service chatbots, and virtual wallet technology, though no specific AI revenue figures are disclosed. Market Share (2/2): PNC is one of the top 7 US banks by assets with $458B+ deposits post-FirstBank, holding dominant positions across the Mid-Atlantic and Southeast markets. Product Pipeline (1/2): Expanding digital banking capabilities and integrating FirstBank operations with guided integration timeline. R&amp;D Intensity (0/1): Banking industry has below-average R&amp;D intensity relative to 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PNC's mission of moving all customers 'from where they are to where they want to be financially' is clear but generic for a large bank — not distinctively purposeful. Community Impact (1/2): PNC operates significant community development programs including the PNC Foundation, $88B Community Benefits Plan, and Grow Up Great early childhood education initiative, demonstrating genuine community investment. Employee Retention (1/2): CEO Bill Demchak has led since 2013, providing over a decade of consistent leadership. 56,366 employees with stable operations. Insider Buying (0/2): No notable insider buying identified beyond standard equity compensation.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Q1 2026 revenue of $6.17B (up 13% YoY), net income of $1.8B with adjusted EPS of $4.32 (beating consensus), NIM of 2.95% [1]. Forward PE of 11.93 is below the 20 target (1.0). ROE of 12.1% approaches but falls short of the 15% target (0.81). Revenue growth of 13.8% YoY exceeds the 10% target (1.0). Profit margin of 31.31% exceeds the 20% target (1.0). D/E is not applicable for banks — excluded. Dividend yield of 3.18% with payout ratio of 38.93% (well within 40% target, 1.0). Full-year 2026 guidance of ~11% revenue growth and 14.5% NII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PNC under CEO Bill Demchak demonstrates moderate infinite game thinking — the 13-year leadership tenure, consistent dividend growth, and long-term M&amp;A strategy (BBVA USA in 2021, FirstBank in 2026) reflect patient capital allocation. However, the bank's competitive positioning is primarily about scale and efficiency rather than a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PNC's purpose of helping customers reach their financial goals is genuine but generic — it describes what any bank does rather than an inspiring future state. The Grow Up Great early childhood education program is distinctive but doesn't define the company's strategic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Demchak's 13-year tenure has created leadership stability and consistent strategy. PNC is generally regarded as a well-managed regional bank with stable culture, though the post-acquisition integration of FirstBank creates temporary organizational stress.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PNC consistently positions itself relative to larger money-center banks (JPM, BAC) and acknowledges their scale advantages while focusing on PNC's regional strengths and customer service differentiation. Competitive framing is about improvement rather than dominance.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PNC's acquisition strategy (BBVA USA in 2021, FirstBank in 2026) demonstrates willingness to significantly expand the franchise through transformative M&amp;A. These are incremental scale acquisitions rather than business model reinventions, but they show strategic adaptability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PNC's early sale of its BlackRock stake (2013-2020) and redeployment into M&amp;A represented a courageous capital allocation decision. The FirstBank acquisition during regulatory uncertainty also shows conviction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PNC delivered solid Q1 2026 results with $6.17B revenue (up 13% YoY), adjusted EPS of $4.32 beating consensus, and NIM expanding to 2.95% [1]. The FirstBank acquisition adds scale with average loans of $350.9B and deposits of $458.4B. Full-year 2026 guidance of ~11% revenue growth and 14.5% NII growth reflects continued positive operating leverage. At 11.93x forward earnings with a 3.18% dividend yield and 14 years of consecutive growth, PNC offers attractive income with moderate growth for a top-7 US bank.</w:t>
      </w:r>
    </w:p>
    <w:p>
      <w:pPr>
        <w:spacing w:after="120"/>
      </w:pPr>
      <w:r>
        <w:rPr>
          <w:rFonts w:ascii="Calibri" w:hAnsi="Calibri"/>
          <w:b w:val="0"/>
          <w:color w:val="3A4A28"/>
          <w:sz w:val="20"/>
        </w:rPr>
        <w:t>The primary risk is integration execution — the FirstBank acquisition generated $98M in pre-tax integration costs in Q1 alone, and achieving projected synergies requires successful customer retention and systems integration. Revenue slightly missed consensus at $6.17B vs $6.21B expected, suggesting organic growth momentum may be weaker than the headline suggests. The PEG ratio of 1.95 indicates the stock is not cheap relative to its growth rate. Regional banking faces persistent competitive pressure from fintech disruptors, money-center banks' digital expansion, and potential credit quality deterioration in commercial real estate portfolios.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FirstBank integration synergies driving cost savings and revenue expansion across an enlarged Mid-Atlantic and Southeast footprint</w:t>
      </w:r>
    </w:p>
    <w:p>
      <w:pPr>
        <w:spacing w:before="40" w:after="40"/>
        <w:ind w:left="283"/>
      </w:pPr>
      <w:r>
        <w:rPr>
          <w:rFonts w:ascii="Calibri" w:hAnsi="Calibri"/>
          <w:b/>
          <w:color w:val="4A6B25"/>
          <w:sz w:val="20"/>
        </w:rPr>
        <w:t xml:space="preserve">2. </w:t>
      </w:r>
      <w:r>
        <w:rPr>
          <w:rFonts w:ascii="Calibri" w:hAnsi="Calibri"/>
          <w:b w:val="0"/>
          <w:color w:val="3A4A28"/>
          <w:sz w:val="20"/>
        </w:rPr>
        <w:t>NIM expansion to 2.95% with further upside potential if the yield curve steepens, driving NII growth above the 14.5% guidance</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14 consecutive years of increases with a manageable 38.93% payout ratio providing room for continued raises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FirstBank integration carries execution risk — $98M in Q1 integration costs with uncertain timeline for achieving full run-rate synergies</w:t>
      </w:r>
    </w:p>
    <w:p>
      <w:pPr>
        <w:spacing w:before="40" w:after="40"/>
        <w:ind w:left="283"/>
      </w:pPr>
      <w:r>
        <w:rPr>
          <w:rFonts w:ascii="Calibri" w:hAnsi="Calibri"/>
          <w:b/>
          <w:color w:val="4A6B25"/>
          <w:sz w:val="20"/>
        </w:rPr>
        <w:t xml:space="preserve">2. </w:t>
      </w:r>
      <w:r>
        <w:rPr>
          <w:rFonts w:ascii="Calibri" w:hAnsi="Calibri"/>
          <w:b w:val="0"/>
          <w:color w:val="3A4A28"/>
          <w:sz w:val="20"/>
        </w:rPr>
        <w:t>Revenue slightly missed consensus suggesting organic growth may be masking by acquisition-driven growth; comparable pre-acquisition trends are unclear</w:t>
      </w:r>
    </w:p>
    <w:p>
      <w:pPr>
        <w:spacing w:before="40" w:after="40"/>
        <w:ind w:left="283"/>
      </w:pPr>
      <w:r>
        <w:rPr>
          <w:rFonts w:ascii="Calibri" w:hAnsi="Calibri"/>
          <w:b/>
          <w:color w:val="4A6B25"/>
          <w:sz w:val="20"/>
        </w:rPr>
        <w:t xml:space="preserve">3. </w:t>
      </w:r>
      <w:r>
        <w:rPr>
          <w:rFonts w:ascii="Calibri" w:hAnsi="Calibri"/>
          <w:b w:val="0"/>
          <w:color w:val="3A4A28"/>
          <w:sz w:val="20"/>
        </w:rPr>
        <w:t>Commercial real estate exposure creates credit quality risk in an environment of elevated office vacancy rates and refinancing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PNC's core banking business has meaningful AI defensive moats — regulatory requirements, customer switching costs, physical branch network, and the complexity of commercial lending relationships create barriers that AI cannot easily displace [1]. However, fintech competitors with AI-native platforms are capturing market share in consumer banking, payments, and small business lending. Traditional banking services like basic transactions and simple lending are increasingly automated. AI Opportunity (1/1): PNC generates measurable value from AI through fraud detection, virtual wallet technology, and operational efficiency improvements that contribute to the improved NIM and cost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PNC Q1 2026 Earnings Release — TradingView, StockTitan, April 2026</w:t>
      </w:r>
    </w:p>
    <w:p>
      <w:pPr>
        <w:spacing w:before="20" w:after="20"/>
        <w:ind w:left="170"/>
      </w:pPr>
      <w:r>
        <w:rPr>
          <w:rFonts w:ascii="Calibri" w:hAnsi="Calibri"/>
          <w:b/>
          <w:color w:val="4A6B25"/>
          <w:sz w:val="15"/>
        </w:rPr>
        <w:t xml:space="preserve">2. </w:t>
      </w:r>
      <w:r>
        <w:rPr>
          <w:rFonts w:ascii="Calibri" w:hAnsi="Calibri"/>
          <w:b w:val="0"/>
          <w:color w:val="3A4A28"/>
          <w:sz w:val="17"/>
        </w:rPr>
        <w:t>PNC Q1 2026 Earnings Call Highlights —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PNC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