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PNFP</w:t>
      </w:r>
      <w:r>
        <w:rPr>
          <w:rFonts w:ascii="Calibri" w:hAnsi="Calibri"/>
          <w:b/>
          <w:color w:val="1A2010"/>
          <w:sz w:val="40"/>
        </w:rPr>
        <w:t xml:space="preserve">  Pinnacle Financial Partners, Inc.</w:t>
      </w:r>
    </w:p>
    <w:p>
      <w:pPr>
        <w:spacing w:after="120"/>
      </w:pPr>
      <w:r>
        <w:rPr>
          <w:rFonts w:ascii="Calibri" w:hAnsi="Calibri"/>
          <w:b/>
          <w:color w:val="6E8450"/>
          <w:sz w:val="18"/>
        </w:rPr>
        <w:t>GROWTH SLEEVE · 2026-07-22 · Inspire: 48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Pinnacle Financial Partners is a bank holding company operating through Pinnacle Bank, providing commercial and consumer banking, wealth management, and advisory services across the Southeastern United States. Following its January 2026 merger with Synovus Financial Corp., the combined entity manages approximately $119 billion in assets, $85 billion in loans, and $100 billion in deposits, making it one of the largest regional banks in the Southeast. Headquartered in Nashville, Tennessee.</w:t>
      </w:r>
    </w:p>
    <w:p>
      <w:r>
        <w:rPr>
          <w:rFonts w:ascii="Calibri" w:hAnsi="Calibri"/>
          <w:b/>
          <w:color w:val="6E8450"/>
          <w:sz w:val="18"/>
        </w:rPr>
        <w:t>9,500 Employees · https://www.pnfp.com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Pinnacle completed a transformative merger with Synovus on January 1, 2026, creating a $119B-asset Southeast banking powerhouse — going from a $50B mid-size bank to a top-tier regional franchise with dominant positions across Nashville, Atlanta, Georgia, and the Carolinas [1]. Q1 2026 as the combined entity showed $85.2B in loans, $100.1B in deposits, and adjusted EPS of $2.39 [1]. Pre-merger organic revenue grew 20.5% in 2025 to $1.95B, demonstrating momentum independent of the acquisition. AI Deployment (1/2): Through the Synovus merger, Pinnacle inherited SynovusGPT, an internal generative AI tool built in August 2023 for employee productivity, and appointed Kevin Johnson as head of AI and automation for the combined bank; CEO Kevin Blair publicly discusses AI's impact on banking [3]. Market Share (2/2): Post-merger, Pinnacle is a category leader in Southeast commercial banking markets with dominant positions in Nashville, Atlanta, and emerging strength across the Carolinas, Florida, and Alabama, with $85.2B in loans placing it among the largest regional banks nationally [1][2]. Product Pipeline (0/2): No specific next-generation product announcements with defined timelines beyond integration milestones and systems conversion planned for March 2027. R&amp;D Intensity (1/1): Pinnacle's investment in fintech through the gener8tor Innovation Accelerator in Atlanta demonstrates above-average commitment to innovation for a regional bank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Pinnacle's purpose centers on building a firm where the best bankers want to work and clients receive extraordinary service — a distinctive, talent-first banking model that has been consistently validated since the company's founding in 2000 [4]. The purpose shapes hiring decisions, compensation structures, and the autonomy granted to relationship managers. The Synovus merger was explicitly framed as extending this model, not abandoning it. Community Impact (2/2): Pinnacle committed $1.7B to investments, lending, and grants for low-to-moderate-income housing, small business, and minority-owned institutions by end of 2022, and earned national ESG recognition from Coalition Greenwich as a Standout Commercial Bank [5]. Employee Retention (2/2): Ranked No. 12 on Fortune's 100 Best Companies to Work For list, with 97% of associates saying Pinnacle is a great place to work versus 57% at a typical U.S. company — extraordinary evidence of culture-driven retention for a financial institution [3]. Glassdoor rating of 4.1/5 with culture rated 4.3/5 further confirms above-average workplace quality. Insider Buying (0/2): No evidence of meaningful net insider buying in recent filings. CEO Kevin Blair and other executives received equity compensation grants, but no significant open-market purchases were identified to signal conviction beyond standard compensation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as the combined entity delivered adjusted EPS of $2.39 with $1.14B revenue and a 3.53% net interest margin reflecting strong earning asset yield [1]. Forward P/E of 10.51x is deeply discounted versus the 20x target, reflecting post-merger integration uncertainty that creates value opportunity [6]. Profit margin of 32.2% is well above the 20% target, demonstrating efficient operations despite merger-related charges reducing GAAP EPS to $0.89 [1]. ROE of 9.44% is below the 15% target, compressed by the Synovus merger's equity dilution — expected to normalize above 12% as cost synergies are realized. Revenue Growth 5yr CAGR of approximately 14.9% exceeds the 10% target, reflecting strong organic momentum. PEG ratio of 1.41 is above the 1.0 target. Liquidity floor easily cleared at estimated $200M+ daily traded value. Management guides 9-11% loan growth, 8-10% deposit growth, $0.50/quarter dividend, and up to $400M in share repurchases for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Pinnacle Financial Partners exemplifies infinite game thinking in regional banking — building a culture-first institution where the best bankers want to work, then trusting those bankers to build deep client relationships. The Synovus merger was driven by strategic vision to create a Southeast banking champion rather than short-term earnings optimization, and the integration approach prioritizes cultural alignment over aggressive cost-cutting. Fortune's #12 Best Company ranking with 97% employee satisfaction provides extraordinary validation of this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Pinnacle's purpose of creating the best place for bankers to work and clients to bank is genuinely distinctive and has been consistently validated since the company's founding in 2000 [4]. Strategic decisions — including the transformative Synovus merger — clearly trace back to this talent-first cause. CEO Kevin Blair framed the combination as extending Pinnacle's culture across a larger footprint, not just achieving scale for its own sake. The purpose is specific enough to drive behavior across hiring, compensation, and client service, though it hasn't been tested through the kind of multi-decade crises that would earn full marks.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Pinnacle is ranked No. 12 on Fortune's 100 Best Companies to Work For, with 97% of employees affirming it's a great place to work versus 57% nationally — extraordinary for any company, exceptional for a bank [3]. Glassdoor rating of 4.1/5 with culture rated 4.3/5 and work-life balance 4.2/5 confirms the institutional data. The model of empowering relationship managers to operate as quasi-independent advisors with institutional backing creates the psychological safety Sinek describes. Leadership continuity through the Synovus merger was managed with clear executive role clarity before close.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Pinnacle's merger with Synovus demonstrates an infinite competitive mindset — rather than viewing Synovus as a rival to defeat, leadership recognized Synovus's complementary strengths (AI capabilities via SynovusGPT, Georgia market depth, commercial banking expertise) and combined forces to create a stronger institution [1]. Management language consistently focuses on building the best banking franchise in the Southeast through talent acquisition and cultural excellence, not market share warfare against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Synovus merger represents meaningful strategic evolution — transforming from a Nashville-centric $50B bank to a $119B Southeast champion in a single strategic move [1]. This required redefining the company's geographic scope, organizational structure, and competitive position. However, the core business model (relationship banking with empowered advisors) remains unchanged, making this a significant extension rather than a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Synovus merger required significant courage — risking the tight-knit culture that made Pinnacle special by more than doubling in size and integrating a $60B+ asset institution [1]. CEO Kevin Blair committed to preserving the relationship-driven model rather than defaulting to aggressive cost-cutting integration playbooks. Pinnacle's long-term investment in culture (resulting in consistent Fortune Best Companies recognition at the expense of near-term efficiency ratios) demonstrates a pattern of choosing organizational capability over short-term earnings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Financial Partners delivered a solid first quarter as a combined entity with Synovus, posting adjusted EPS of $2.39, $85.2B in loans, $100.1B in deposits, and a 3.53% net interest margin with stable credit quality [1]. At a forward P/E of just 10.51x — below regional bank peers at 11-13x — the market is pricing in integration risk that Pinnacle's culture-first approach and track record suggest it will navigate successfully. The company guides 9-11% loan growth, 8-10% deposit growth, and expects to realize at least 40% of merger-related expense savings while capturing revenue synergies [1]. The culture advantage (Fortune #12 Best Company to Work For, 97% employee satisfaction) translates directly to banker retention and client relationship quality, creating a durable competitive moat where talent is the product [3]. With $400M in authorized share repurchases and a $0.50/quarter dividend, capital return is well-supported by the combined entity's earnings power.</w:t>
      </w:r>
    </w:p>
    <w:p>
      <w:pPr>
        <w:spacing w:after="120"/>
      </w:pPr>
      <w:r>
        <w:rPr>
          <w:rFonts w:ascii="Calibri" w:hAnsi="Calibri"/>
          <w:b w:val="0"/>
          <w:color w:val="3A4A28"/>
          <w:sz w:val="20"/>
        </w:rPr>
        <w:t>The bear case centers on merger integration complexity and ROE compression. Combining two distinct banking cultures and technology platforms across $119B in assets is Pinnacle's most complex integration ever — systems and brand conversions are not expected until March 2027, leaving 18+ months of dual-platform operations [1]. GAAP EPS of $0.89 versus adjusted EPS of $2.39 in Q1 2026 highlights the significant merger-related charges still flowing through the income statement. ROE of 9.44% has compressed from the merger's equity dilution and must recover toward 12%+ to justify the growth valuation — failure to achieve cost synergies would make this compression structural [6]. Interest rate sensitivity is elevated for the combined entity, with net interest margin at risk if the Fed cuts aggressively. Southeast commercial real estate concentration poses risk as office and retail vacancies rise in some metros. The larger $119B asset base triggers heightened regulatory scrutiny, potentially requiring higher compliance spending that pressures efficiency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(reporting July 22) expected to show improving integration metrics with EPS estimate of $2.50, demonstrating operating leverage as merger synergies begin to materialize [1]</w:t>
      </w:r>
    </w:p>
    <w:p>
      <w:pPr>
        <w:spacing w:before="40" w:after="40"/>
        <w:ind w:left="283"/>
      </w:pPr>
      <w:r>
        <w:rPr>
          <w:rFonts w:ascii="Calibri" w:hAnsi="Calibri"/>
          <w:b/>
          <w:color w:val="4A6B25"/>
          <w:sz w:val="20"/>
        </w:rPr>
        <w:t xml:space="preserve">2. </w:t>
      </w:r>
      <w:r>
        <w:rPr>
          <w:rFonts w:ascii="Calibri" w:hAnsi="Calibri"/>
          <w:b w:val="0"/>
          <w:color w:val="3A4A28"/>
          <w:sz w:val="20"/>
        </w:rPr>
        <w:t>Realization of 40%+ merger cost synergies over 2026-2027 expected to drive ROE recovery toward 12%+ and narrow the valuation discount to regional bank peers [1]</w:t>
      </w:r>
    </w:p>
    <w:p>
      <w:pPr>
        <w:spacing w:before="40" w:after="40"/>
        <w:ind w:left="283"/>
      </w:pPr>
      <w:r>
        <w:rPr>
          <w:rFonts w:ascii="Calibri" w:hAnsi="Calibri"/>
          <w:b/>
          <w:color w:val="4A6B25"/>
          <w:sz w:val="20"/>
        </w:rPr>
        <w:t xml:space="preserve">3. </w:t>
      </w:r>
      <w:r>
        <w:rPr>
          <w:rFonts w:ascii="Calibri" w:hAnsi="Calibri"/>
          <w:b w:val="0"/>
          <w:color w:val="3A4A28"/>
          <w:sz w:val="20"/>
        </w:rPr>
        <w:t>Up to $400M in share repurchases combined with $0.50/quarter dividend providing capital return tailwind as the combined entity generates normalized earnings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execution risk — combining $119B in assets, two technology platforms (systems conversion not until March 2027), and distinct banking cultures could result in banker attrition, client loss, or higher-than-expected costs [1]</w:t>
      </w:r>
    </w:p>
    <w:p>
      <w:pPr>
        <w:spacing w:before="40" w:after="40"/>
        <w:ind w:left="283"/>
      </w:pPr>
      <w:r>
        <w:rPr>
          <w:rFonts w:ascii="Calibri" w:hAnsi="Calibri"/>
          <w:b/>
          <w:color w:val="4A6B25"/>
          <w:sz w:val="20"/>
        </w:rPr>
        <w:t xml:space="preserve">2. </w:t>
      </w:r>
      <w:r>
        <w:rPr>
          <w:rFonts w:ascii="Calibri" w:hAnsi="Calibri"/>
          <w:b w:val="0"/>
          <w:color w:val="3A4A28"/>
          <w:sz w:val="20"/>
        </w:rPr>
        <w:t>ROE compression from Synovus equity dilution — current 9.44% ROE is below cost of equity, and failure to realize cost synergies would make the compression permanent rather than transitional [6]</w:t>
      </w:r>
    </w:p>
    <w:p>
      <w:pPr>
        <w:spacing w:before="40" w:after="40"/>
        <w:ind w:left="283"/>
      </w:pPr>
      <w:r>
        <w:rPr>
          <w:rFonts w:ascii="Calibri" w:hAnsi="Calibri"/>
          <w:b/>
          <w:color w:val="4A6B25"/>
          <w:sz w:val="20"/>
        </w:rPr>
        <w:t xml:space="preserve">3. </w:t>
      </w:r>
      <w:r>
        <w:rPr>
          <w:rFonts w:ascii="Calibri" w:hAnsi="Calibri"/>
          <w:b w:val="0"/>
          <w:color w:val="3A4A28"/>
          <w:sz w:val="20"/>
        </w:rPr>
        <w:t>Southeast commercial real estate concentration — significant CRE loan exposure in a region where office and retail vacancies are rising due to remote work trends and potential overbuilding in Nashville, Atlanta, and secondary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relationship-intensive, heavily regulated industry with high switching costs — core commercial lending, wealth management, and complex advisory services cannot be replaced by AI [1]. Pinnacle's relationship-first model, where trusted advisors manage complex commercial and wealth clients, provides meaningful protection against AI commoditization of basic banking services. The $119B Southeast franchise with deep client relationships represents a durable moat. However, retail banking transaction processing and back-office operations face efficiency pressure from AI-driven fintech competitors, and CEO Kevin Blair has publicly discussed which banks are most at risk in the AI revolution, signaling management awareness [3]. AI Opportunity (0/1): SynovusGPT is an internal productivity tool deployed for employee use, and a dedicated AI team operates under Kevin Johnson, but these are operational efficiency tools rather than revenue-generating AI products or services. No quantifiable AI-specific revenue has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Financial Partners Q1 2026 Results — Adj EPS $2.39, GAAP EPS $0.89, $85.2B loans, $100.1B deposits, 3.53% NIM, merger guidance reaffirmed, April 2026</w:t>
      </w:r>
    </w:p>
    <w:p>
      <w:pPr>
        <w:spacing w:before="20" w:after="20"/>
        <w:ind w:left="170"/>
      </w:pPr>
      <w:r>
        <w:rPr>
          <w:rFonts w:ascii="Calibri" w:hAnsi="Calibri"/>
          <w:b/>
          <w:color w:val="4A6B25"/>
          <w:sz w:val="15"/>
        </w:rPr>
        <w:t xml:space="preserve">2. </w:t>
      </w:r>
      <w:r>
        <w:rPr>
          <w:rFonts w:ascii="Calibri" w:hAnsi="Calibri"/>
          <w:b w:val="0"/>
          <w:color w:val="3A4A28"/>
          <w:sz w:val="17"/>
        </w:rPr>
        <w:t>Pinnacle/Synovus Merger Completion — $119B combined assets, regional bank growth champion, effective January 1, 2026</w:t>
      </w:r>
    </w:p>
    <w:p>
      <w:pPr>
        <w:spacing w:before="20" w:after="20"/>
        <w:ind w:left="170"/>
      </w:pPr>
      <w:r>
        <w:rPr>
          <w:rFonts w:ascii="Calibri" w:hAnsi="Calibri"/>
          <w:b/>
          <w:color w:val="4A6B25"/>
          <w:sz w:val="15"/>
        </w:rPr>
        <w:t xml:space="preserve">3. </w:t>
      </w:r>
      <w:r>
        <w:rPr>
          <w:rFonts w:ascii="Calibri" w:hAnsi="Calibri"/>
          <w:b w:val="0"/>
          <w:color w:val="3A4A28"/>
          <w:sz w:val="17"/>
        </w:rPr>
        <w:t>Fortune Best Companies to Work For #12, 97% employee satisfaction; Kevin Johnson AI &amp; Automation head; gener8tor Innovation Accelerator; Glassdoor 4.1/5 rating</w:t>
      </w:r>
    </w:p>
    <w:p>
      <w:pPr>
        <w:spacing w:before="20" w:after="20"/>
        <w:ind w:left="170"/>
      </w:pPr>
      <w:r>
        <w:rPr>
          <w:rFonts w:ascii="Calibri" w:hAnsi="Calibri"/>
          <w:b/>
          <w:color w:val="4A6B25"/>
          <w:sz w:val="15"/>
        </w:rPr>
        <w:t xml:space="preserve">4. </w:t>
      </w:r>
      <w:r>
        <w:rPr>
          <w:rFonts w:ascii="Calibri" w:hAnsi="Calibri"/>
          <w:b w:val="0"/>
          <w:color w:val="3A4A28"/>
          <w:sz w:val="17"/>
        </w:rPr>
        <w:t>Pinnacle Financial Partners Corporate Website — Mission, values, relationship banking philosophy, pnfp.com,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Pinnacle Financial Partners Community Investment — $1.7B in CRA commitments; Coalition Greenwich ESG Standout Commercial Bank recognition</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PNFP Key Statistics (PE 12.88, Fwd PE 10.51, ROE 9.44%, profit margin 32.2%),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