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PPG</w:t>
      </w:r>
      <w:r>
        <w:rPr>
          <w:rFonts w:ascii="Calibri" w:hAnsi="Calibri"/>
          <w:b/>
          <w:color w:val="1A2010"/>
          <w:sz w:val="40"/>
        </w:rPr>
        <w:t xml:space="preserve">  PPG Industries, Inc.</w:t>
      </w:r>
    </w:p>
    <w:p>
      <w:pPr>
        <w:spacing w:after="120"/>
      </w:pPr>
      <w:r>
        <w:rPr>
          <w:rFonts w:ascii="Calibri" w:hAnsi="Calibri"/>
          <w:b/>
          <w:color w:val="6E8450"/>
          <w:sz w:val="18"/>
        </w:rPr>
        <w:t>DIVIDEND SLEEVE · 2026-07-16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PPG Industries is a global leader in paints, coatings, and specialty materials, serving customers in construction, consumer products, industrial, and transportation markets. Founded in 1883, PPG operates in more than 70 countries with leading positions in architectural coatings, automotive OEM/refinish, and aerospace coatings.</w:t>
      </w:r>
    </w:p>
    <w:p>
      <w:r>
        <w:rPr>
          <w:rFonts w:ascii="Calibri" w:hAnsi="Calibri"/>
          <w:b/>
          <w:color w:val="6E8450"/>
          <w:sz w:val="18"/>
        </w:rPr>
        <w:t>43,500 Employees · https://www.ppg.com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 launched DELTRON NXT Premium Glamour Speed Clearcoat, its first product developed entirely using AI and machine learning to meet full commercial specifications, demonstrating measurable AI-to-product deployment in its automotive refinish business [1]. As the global #1 coatings manufacturer, PPG holds category leadership with 44% of sales from sustainably advantaged products representing a growing pipeline [4]. The company leverages digital twins to focus R&amp;D on the most promising chemistries before lab synthesis, and applies generative AI and large language models to accelerate development timelines [2]. However, for a $16B revenue company, the pace of transformative innovation is incremental rather than category-defining.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PPG's stated purpose — 'to protect and beautify the world' — provides a clear and somewhat aspirational frame for a 143-year-old coatings company [2]. 'The PPG Way' culture framework emphasizes employee empowerment, ownership, and integrity as enablers of strategic execution across 43,500 employees globally [2]. PPG earned an EcoVadis gold rating for corporate social responsibility and has SBTi-validated emissions reduction targets (50% reduction by 2030 from 2019 baseline), showing institutional commitment to sustainability [4]. However, recent CEO transition (Tim Knavish) reduces the founder/long-tenure leadership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PPG's infrastructure is anchored by 126 consecutive years of dividend payments and 54 consecutive years of dividend growth — placing it among the elite Dividend Aristocrats [3]. The company maintains manageable leverage (D/E 87%), strong ROE (19.6%), and a well-covered dividend (payout ratio ~41%) [3][5]. Nine consecutive quarters of segment margin expansion demonstrate operational discipline. However, revenue growth is anemic at 0.19% YoY for 2025, and profit margins at 10% lag the 20% target for best-in-class industrial companies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PPG's 143-year operating history, 54 consecutive years of dividend growth, and clear purpose statement demonstrate institutional DNA oriented toward long-term survival. The company has evolved from Pittsburgh Plate Glass to a global coatings leader through multiple century-spanning pivots, embodying infinite-game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PPG's purpose to 'protect and beautify the world' is clear, enduring, and validated by 143 years of consistent execution across product cycles and economic cycles. The mission transcends any single product line or market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PPG Way' culture framework empowers 43,500 employees across 70+ countries with clear values around ownership and integrity, though the company's size and global spread makes cultural consistency a perpetual challenge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 competes vigorously against Sherwin-Williams and AkzoNobel, learning from Sherwin-Williams' superior retail distribution model while maintaining its own strength in industrial and automotive OEM channels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 transformed from a glass manufacturer (Pittsburgh Plate Glass) into the world's leading coatings company, subsequently divesting glass entirely. More recently, PPG exited commodity fiberglass to focus on higher-margin specialty coatings and has pivoted toward sustainable product development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 committed to SBTi-validated emissions reduction targets (50% by 2030) and invested in AI-driven R&amp;D transformation, though organic revenue growth guidance of flat-to-low-single-digits for 2026 suggests incremental execution rather than bold market-shaping moves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PPG Industries is the global leader in paints and coatings with an unmatched 143-year track record of continuous operation, 126 consecutive years of dividend payments, and 54 consecutive years of dividend growth. The company's AI-enabled R&amp;D transformation, margin expansion program, and sustainable product portfolio (44% of sales) position it for gradual improvement in an industry with stable long-term demand drivers.</w:t>
      </w:r>
    </w:p>
    <w:p>
      <w:pPr>
        <w:spacing w:after="120"/>
      </w:pPr>
      <w:r>
        <w:rPr>
          <w:rFonts w:ascii="Calibri" w:hAnsi="Calibri"/>
          <w:b w:val="0"/>
          <w:color w:val="3A4A28"/>
          <w:sz w:val="20"/>
        </w:rPr>
        <w:t>However, the near-zero organic revenue growth (0.2% in 2025, flat-to-low guidance for 2026) reflects persistent global industrial weakness that limits upside conviction. The stock's 2.46% dividend yield and mid-teens PE provide adequate compensation for patience, but meaningful rerating requires demonstrated top-line acceleration. A HOLD rating reflects confidence in PPG's durability but acknowledgment that the current cycle offers limited catalysts for capital appreciation.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EPS guidance of $7.70-$8.10 (mid-single-digit growth) with margin expansion continuing into 10th consecutive quarter</w:t>
      </w:r>
    </w:p>
    <w:p>
      <w:pPr>
        <w:spacing w:before="40" w:after="40"/>
        <w:ind w:left="283"/>
      </w:pPr>
      <w:r>
        <w:rPr>
          <w:rFonts w:ascii="Calibri" w:hAnsi="Calibri"/>
          <w:b/>
          <w:color w:val="4A6B25"/>
          <w:sz w:val="20"/>
        </w:rPr>
        <w:t xml:space="preserve">2. </w:t>
      </w:r>
      <w:r>
        <w:rPr>
          <w:rFonts w:ascii="Calibri" w:hAnsi="Calibri"/>
          <w:b w:val="0"/>
          <w:color w:val="3A4A28"/>
          <w:sz w:val="20"/>
        </w:rPr>
        <w:t>Q1 2026 revenue grew 6.7% YoY, suggesting improving demand trajectory versus flat 2025</w:t>
      </w:r>
    </w:p>
    <w:p>
      <w:pPr>
        <w:spacing w:before="40" w:after="40"/>
        <w:ind w:left="283"/>
      </w:pPr>
      <w:r>
        <w:rPr>
          <w:rFonts w:ascii="Calibri" w:hAnsi="Calibri"/>
          <w:b/>
          <w:color w:val="4A6B25"/>
          <w:sz w:val="20"/>
        </w:rPr>
        <w:t xml:space="preserve">3. </w:t>
      </w:r>
      <w:r>
        <w:rPr>
          <w:rFonts w:ascii="Calibri" w:hAnsi="Calibri"/>
          <w:b w:val="0"/>
          <w:color w:val="3A4A28"/>
          <w:sz w:val="20"/>
        </w:rPr>
        <w:t>AI-driven R&amp;D acceleration reducing development cycle times and enabling faster product launches across coatings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global industrial production weakness constraining organic volume growth across automotive and industrial segments</w:t>
      </w:r>
    </w:p>
    <w:p>
      <w:pPr>
        <w:spacing w:before="40" w:after="40"/>
        <w:ind w:left="283"/>
      </w:pPr>
      <w:r>
        <w:rPr>
          <w:rFonts w:ascii="Calibri" w:hAnsi="Calibri"/>
          <w:b/>
          <w:color w:val="4A6B25"/>
          <w:sz w:val="20"/>
        </w:rPr>
        <w:t xml:space="preserve">2. </w:t>
      </w:r>
      <w:r>
        <w:rPr>
          <w:rFonts w:ascii="Calibri" w:hAnsi="Calibri"/>
          <w:b w:val="0"/>
          <w:color w:val="3A4A28"/>
          <w:sz w:val="20"/>
        </w:rPr>
        <w:t>Raw material cost inflation (TiO2, resins) compressing margins if pricing power proves insufficient to offset</w:t>
      </w:r>
    </w:p>
    <w:p>
      <w:pPr>
        <w:spacing w:before="40" w:after="40"/>
        <w:ind w:left="283"/>
      </w:pPr>
      <w:r>
        <w:rPr>
          <w:rFonts w:ascii="Calibri" w:hAnsi="Calibri"/>
          <w:b/>
          <w:color w:val="4A6B25"/>
          <w:sz w:val="20"/>
        </w:rPr>
        <w:t xml:space="preserve">3. </w:t>
      </w:r>
      <w:r>
        <w:rPr>
          <w:rFonts w:ascii="Calibri" w:hAnsi="Calibri"/>
          <w:b w:val="0"/>
          <w:color w:val="3A4A28"/>
          <w:sz w:val="20"/>
        </w:rPr>
        <w:t>Foreign exchange headwinds from strong dollar environment reducing reported revenue given 60%+ international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Paints and coatings are irreplaceable physical products �� AI cannot disrupt the need to protect infrastructure, vehicles, and buildings from corrosion and wear [2]. PPG actively deploys AI as a competitive enabler: digital twins optimize formulations before lab synthesis, GenAI accelerates development timelines, and the company's first fully AI-developed commercial product (DELTRON NXT) validates measurable R&amp;D efficiency gains [1][2]. The primary AI risk is modest: competitors using AI to close PPG's formulation advantage, but PPG's 143-year chemistry database provides a data moat that is difficult to replicate.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PPG Industries Q4 2025 Earnings Release and 2026 Outlook, SEC Form 8-K, January 2026</w:t>
      </w:r>
    </w:p>
    <w:p>
      <w:pPr>
        <w:spacing w:before="20" w:after="20"/>
        <w:ind w:left="170"/>
      </w:pPr>
      <w:r>
        <w:rPr>
          <w:rFonts w:ascii="Calibri" w:hAnsi="Calibri"/>
          <w:b/>
          <w:color w:val="4A6B25"/>
          <w:sz w:val="15"/>
        </w:rPr>
        <w:t xml:space="preserve">2. </w:t>
      </w:r>
      <w:r>
        <w:rPr>
          <w:rFonts w:ascii="Calibri" w:hAnsi="Calibri"/>
          <w:b w:val="0"/>
          <w:color w:val="3A4A28"/>
          <w:sz w:val="17"/>
        </w:rPr>
        <w:t>CIO Magazine — 'The three-pronged transformation strategy driving innovation at PPG', 2025</w:t>
      </w:r>
    </w:p>
    <w:p>
      <w:pPr>
        <w:spacing w:before="20" w:after="20"/>
        <w:ind w:left="170"/>
      </w:pPr>
      <w:r>
        <w:rPr>
          <w:rFonts w:ascii="Calibri" w:hAnsi="Calibri"/>
          <w:b/>
          <w:color w:val="4A6B25"/>
          <w:sz w:val="15"/>
        </w:rPr>
        <w:t xml:space="preserve">3. </w:t>
      </w:r>
      <w:r>
        <w:rPr>
          <w:rFonts w:ascii="Calibri" w:hAnsi="Calibri"/>
          <w:b w:val="0"/>
          <w:color w:val="3A4A28"/>
          <w:sz w:val="17"/>
        </w:rPr>
        <w:t>Sure Dividend — 'Dividend Aristocrats In Focus: PPG Industries', January 2026</w:t>
      </w:r>
    </w:p>
    <w:p>
      <w:pPr>
        <w:spacing w:before="20" w:after="20"/>
        <w:ind w:left="170"/>
      </w:pPr>
      <w:r>
        <w:rPr>
          <w:rFonts w:ascii="Calibri" w:hAnsi="Calibri"/>
          <w:b/>
          <w:color w:val="4A6B25"/>
          <w:sz w:val="15"/>
        </w:rPr>
        <w:t xml:space="preserve">4. </w:t>
      </w:r>
      <w:r>
        <w:rPr>
          <w:rFonts w:ascii="Calibri" w:hAnsi="Calibri"/>
          <w:b w:val="0"/>
          <w:color w:val="3A4A28"/>
          <w:sz w:val="17"/>
        </w:rPr>
        <w:t>BusinessWire — 'PPG marks strong progress against 2030 sustainability targets', May 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PPG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