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PPLC</w:t>
      </w:r>
      <w:r>
        <w:rPr>
          <w:rFonts w:ascii="Calibri" w:hAnsi="Calibri"/>
          <w:b/>
          <w:color w:val="1A2010"/>
          <w:sz w:val="40"/>
        </w:rPr>
        <w:t xml:space="preserve">  PPL Corporation</w:t>
      </w:r>
    </w:p>
    <w:p>
      <w:pPr>
        <w:spacing w:after="120"/>
      </w:pPr>
      <w:r>
        <w:rPr>
          <w:rFonts w:ascii="Calibri" w:hAnsi="Calibri"/>
          <w:b/>
          <w:color w:val="6E8450"/>
          <w:sz w:val="18"/>
        </w:rPr>
        <w:t>DIVIDEND SLEEVE · 2026-08-04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PPL Corporation provides electricity and natural gas to approximately 3.6 million customers across Pennsylvania, Kentucky, and Rhode Island through three regulated segments. The company operates 14+ GW of generation capacity including coal, gas, hydro, and solar, and is executing a $23B capital plan through 2029 focused on renewables, grid modernization, and data center infrastructure. PPLC represents PPL Corporation Corporate Units (equity units) combining stock purchase contracts with senior notes. Founded in 1920 and headquartered in Allentown, Pennsylvania.</w:t>
      </w:r>
    </w:p>
    <w:p>
      <w:r>
        <w:rPr>
          <w:rFonts w:ascii="Calibri" w:hAnsi="Calibri"/>
          <w:b/>
          <w:color w:val="6E8450"/>
          <w:sz w:val="18"/>
        </w:rPr>
        <w:t>6,546 Employees · https://www.pplweb.com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PPL executed a transformative portfolio restructuring — divesting its UK utility (Western Power Distribution) for $10.4B in 2021 and acquiring Narragansett Electric in Rhode Island, reshaping into a pure-play U.S. regulated utility [1]. Q1 2026 revenue grew 10.8% YoY to $2.77B with GAAP EPS of $0.60, demonstrating the strategy is delivering [1]. AI Deployment (1/2): PPL launched a Business Reinvention initiative deploying AI, automation, and data analytics across operations. CEO Sorgi has described AI as integral to grid modernization, and the 2024 appointment of Dean Del Vecchio as Chief Technology and Innovation Officer formalized the technology transformation commitment [3][4]. Market Share (2/2): PPL holds monopoly franchise positions serving 3.6 million customers across three states with 14+ GW generation capacity and extensive T&amp;D infrastructure — the dominant provider in its regulated territories with no competitive alternative [1]. Product Pipeline (0/2): Growth is driven by rate base expansion ($23B capital plan) and data center interconnection rather than product innovation. PPL is now 'co-developing the generation infrastructure required to power' data centers, but these are infrastructure investments, not products [4]. R&amp;D Intensity (1/1): Significant capital investment in grid modernization, smart grid technology, and clean energy transition. The CTIO role creation and partnership with major technology firms demonstrate above-average utility technology commitment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PPL's purpose — 'moving energy forward' and creating 'the utility of the future' — is clear and connects to societal benefit through clean, reliable, affordable energy. CEO Sorgi has articulated a specific transformation vision and refreshed corporate values [4]. However, the purpose is standard for the regulated utility industry and doesn't distinctly differentiate PPL. Community Impact (2/2): PPL serves as essential energy infrastructure for 3.6 million customers, with its clean energy transition commitments (net-zero by 2050, 2,000 MW coal retirement by 2034) demonstrating multi-generational community responsibility. The company publishes comprehensive sustainability reports aligned with GRI, SASB, and TCFD standards and maintains a $20B capital plan focused on grid resilience [5]. Employee Retention (0/2): Glassdoor data reveals significant cultural challenges — 3.1/5.0 overall rating across 670+ reviews, with only 44% of employees recommending PPL and just 39% having a positive outlook [6]. Work-life balance rated 2.6/5 and culture and values 2.7/5 are well below industry average, suggesting the organizational transformation has created meaningful employee dissatisfaction. Insider Buying (0/2): No evidence of meaningful open-market insider buying by CEO Sorgi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Q1 2026 delivered GAAP earnings of $452M ($0.60/share), up 7.1% from $0.56, with non-GAAP earnings of $478M ($0.63/share) [1]. Revenue grew 10.8% YoY to $2.77B. FY2026 guidance reaffirmed at $1.90-$1.98 with 6-8% annual EPS growth through 2029. D/E of 131% scores 0.74 (typical utility leverage). ROE of 8.16% scores 0.54. Revenue growth of 10.8% YoY scores 1.0; 5yr CAGR of 4.6% scores 0.64. Forward P/E of 18.2 scores 1.0. Profit margin of 13.1% scores 0.65. Dividend: payout ratio ~63% scores 0.62, 42 consecutive years paid scores 1.0 (2x weight), 4 consecutive years growth (post-2021 cut) scores 0.40, 5yr dividend growth CAGR of 7.7% (from post-cut base) scores 1.0 (2x weight). Weighted sum 9.59/12 = Infrastructure 8. Liquidity check: 687K avg volume x $35.38 = $24.3M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PPL demonstrates genuine long-term strategic thinking through its bold 2021 UK divestiture, $23B capital plan, and commitment to coal retirement by 2034 — these are meaningful bets on a decades-long energy transition. However, the execution of the transformation has created significant organizational strain, with Glassdoor showing 3.1/5 employee satisfaction and only 44% recommendation rate. The utility's cause is partially mandated by regulation rather than voluntarily chosen, and the company lacks the kind of infinite competitive mindset Sinek values. PPL plays to endure and grow, not to advance a transformative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PPL's 'Utility of the Future' vision connects energy delivery to community resilience, clean energy transition, and AI-driven economic development — a genuine purpose that drives $23B in capital investment and the decision to retire 2,000 MW of coal by 2034 [4][5]. Net-zero by 2050 with specific interim targets (70% reduction by 2035, 80% by 2040) gives the cause concrete accountability. The company's 106-year history since 1920 provides longevity. However, the cause is partially mandated by Oregon's decarbonization regulations and federal policy rather than being entirely voluntarily chosen, and 'utility of the future' is more operational than inspirational.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concerning trust indicators — 3.1/5.0 overall rating, 2.6/5 work-life balance, 2.7/5 culture and values, with only 44% recommending the company and just 39% having a positive outlook [6]. Employee reviews describe 'overwhelming change' and management that is 'stuck in the past' and 'disconnected from the front.' While CEO Sorgi's organizational restructuring to 'break down silos' was well-intentioned, the execution appears to have created significant employee dissatisfaction rather than the high-trust environment Sinek prescribes. The low positive outlook (39%) is particularly concerning for an organization asking employees to execute a multi-decade transformation.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serving 3.6 million customers across three states, PPL does not have direct competitors in its territories and does not engage in the kind of competitive dynamics Sinek describes. While PPL participates in industry groups and benchmarks against peer utilities, there is no evidence of leadership explicitly identifying a worthy rival whose strengths reveal PPL's weaknesses. The company's partnership with technology firms is collaborative, not competitive — admirable, but not what Sinek means by worthy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PPL made a genuinely transformative strategic pivot in 2021 — divesting its profitable UK utility (Western Power Distribution) for $10.4B and acquiring Narragansett Electric in Rhode Island, fundamentally reshaping from an international utility to a pure-play U.S. regulated operator focused on data center and clean energy growth [1]. The commitment to retire 2,000 MW of coal generation by 2034 represents willingness to abandon profitable legacy assets. These are significant strategic shifts, though they remain within the regulated utility framework rather than constituting a complete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PPL has demonstrated a pattern of courageous leadership. Selling the $10.4B UK utility was a defining strategic decision that fundamentally altered the company's revenue base and geographic profile — this was NOT a regulated cost recovery decision but a pure strategic bet on U.S.-focused growth [1]. The $23B infrastructure investment program through 2029 at 10.3% annual rate base growth is among the largest utility capex commitments relative to company size. Voluntarily retiring 2,000 MW of profitable coal generation by 2034 ahead of regulatory mandates requires forgoing near-term earnings for long-term positioning. CEO Sorgi's Business Reinvention initiative embracing AI transformation shows willingness to disrupt internal operations when many utility peers are slower to adapt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PPL Corporation delivered solid Q1 2026 results — GAAP earnings of $452M ($0.60/share, up 7.1% YoY) on revenue of $2.77B (up 10.8%), with non-GAAP EPS of $0.63 beating expectations [1]. FY2026 guidance of $1.90-$1.98 and 6-8% annual EPS growth through 2029 were reaffirmed, driven by a $23B capital plan at 10.3% annual rate base growth. PPL is a prime beneficiary of the AI electricity supercycle — 'massive' data center interconnection requests across Pennsylvania and Kentucky are accelerating rate base investment, with the company now co-developing generation infrastructure for data centers [4]. At 18.2x forward P/E with a 3.22% dividend yield (42 consecutive years paid, 7.7% recent growth CAGR), PPL offers utility-grade income with above-average growth visibility through data center demand and clean energy transition investment [2].</w:t>
      </w:r>
    </w:p>
    <w:p>
      <w:pPr>
        <w:spacing w:after="120"/>
      </w:pPr>
      <w:r>
        <w:rPr>
          <w:rFonts w:ascii="Calibri" w:hAnsi="Calibri"/>
          <w:b w:val="0"/>
          <w:color w:val="3A4A28"/>
          <w:sz w:val="20"/>
        </w:rPr>
        <w:t>The bear case centers on cultural execution risk and financial constraints. Glassdoor data reveals 3.1/5 employee satisfaction with only 44% recommendation rate and 39% positive outlook — concerning for a company asking employees to execute a multi-decade transformation [6]. D/E of 131% and negative free cash flow ($-1.89/share) create interest rate sensitivity and limit financial flexibility for the $23B capital plan. The 2022 dividend cut from $1.66 to $0.875 (47% reduction following the UK sale) demonstrates that dividend reliability is not absolute despite 42 years of payments — the 7.7% growth CAGR is inflated by rebuilding from a cut base. ROE of 8.16% is constrained by the regulated return framework where allowed returns are set by regulators, not markets. Regulatory proceedings across three states create ongoing uncertainty on allowed returns, capital recovery, and rate structures — the PA PUC investigated PPL's $356M rate increase request in 2025-2026 [5]. Data center demand execution risk remains — converting interconnection requests into actual load growth requires years of successful grid buildout and permitting.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electricity demand creating unprecedented load growth in PPL's Pennsylvania and Kentucky territories, with the company now co-developing generation infrastructure to capture the full value chain of AI power demand [4]</w:t>
      </w:r>
    </w:p>
    <w:p>
      <w:pPr>
        <w:spacing w:before="40" w:after="40"/>
        <w:ind w:left="283"/>
      </w:pPr>
      <w:r>
        <w:rPr>
          <w:rFonts w:ascii="Calibri" w:hAnsi="Calibri"/>
          <w:b/>
          <w:color w:val="4A6B25"/>
          <w:sz w:val="20"/>
        </w:rPr>
        <w:t xml:space="preserve">2. </w:t>
      </w:r>
      <w:r>
        <w:rPr>
          <w:rFonts w:ascii="Calibri" w:hAnsi="Calibri"/>
          <w:b w:val="0"/>
          <w:color w:val="3A4A28"/>
          <w:sz w:val="20"/>
        </w:rPr>
        <w:t>$23B infrastructure capital plan through 2029 at 10.3% annual rate base growth, providing long-term EPS visibility of 6-8% annually with stronger growth beginning in 2027 [1]</w:t>
      </w:r>
    </w:p>
    <w:p>
      <w:pPr>
        <w:spacing w:before="40" w:after="40"/>
        <w:ind w:left="283"/>
      </w:pPr>
      <w:r>
        <w:rPr>
          <w:rFonts w:ascii="Calibri" w:hAnsi="Calibri"/>
          <w:b/>
          <w:color w:val="4A6B25"/>
          <w:sz w:val="20"/>
        </w:rPr>
        <w:t xml:space="preserve">3. </w:t>
      </w:r>
      <w:r>
        <w:rPr>
          <w:rFonts w:ascii="Calibri" w:hAnsi="Calibri"/>
          <w:b w:val="0"/>
          <w:color w:val="3A4A28"/>
          <w:sz w:val="20"/>
        </w:rPr>
        <w:t>Clean energy transition — 2,000 MW coal retirement by 2034 replaced by renewable generation, positioning PPL for favorable regulatory treatment and ESG-driven capital flows while reducing emissions 70% by 2035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Employee satisfaction crisis — Glassdoor 3.1/5 with 44% recommend and 39% positive outlook threatens execution of the multi-decade transformation strategy, as disengaged employees cannot deliver the 'Utility of the Future' vision [6]</w:t>
      </w:r>
    </w:p>
    <w:p>
      <w:pPr>
        <w:spacing w:before="40" w:after="40"/>
        <w:ind w:left="283"/>
      </w:pPr>
      <w:r>
        <w:rPr>
          <w:rFonts w:ascii="Calibri" w:hAnsi="Calibri"/>
          <w:b/>
          <w:color w:val="4A6B25"/>
          <w:sz w:val="20"/>
        </w:rPr>
        <w:t xml:space="preserve">2. </w:t>
      </w:r>
      <w:r>
        <w:rPr>
          <w:rFonts w:ascii="Calibri" w:hAnsi="Calibri"/>
          <w:b w:val="0"/>
          <w:color w:val="3A4A28"/>
          <w:sz w:val="20"/>
        </w:rPr>
        <w:t>Negative free cash flow (-$1.89/share) and 131% D/E create interest rate sensitivity and financing risk for the $23B capital plan — rising rates compress utility valuations and increase borrowing costs [2]</w:t>
      </w:r>
    </w:p>
    <w:p>
      <w:pPr>
        <w:spacing w:before="40" w:after="40"/>
        <w:ind w:left="283"/>
      </w:pPr>
      <w:r>
        <w:rPr>
          <w:rFonts w:ascii="Calibri" w:hAnsi="Calibri"/>
          <w:b/>
          <w:color w:val="4A6B25"/>
          <w:sz w:val="20"/>
        </w:rPr>
        <w:t xml:space="preserve">3. </w:t>
      </w:r>
      <w:r>
        <w:rPr>
          <w:rFonts w:ascii="Calibri" w:hAnsi="Calibri"/>
          <w:b w:val="0"/>
          <w:color w:val="3A4A28"/>
          <w:sz w:val="20"/>
        </w:rPr>
        <w:t>Regulatory risk across three state jurisdictions — PA PUC investigated a $356M rate increase request, and allowed ROE decisions directly determine earnings growth potential regardless of data center demand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PPL is structurally immune to AI disruption — regulated electricity generation, transmission, and distribution through physical infrastructure cannot be replaced by software. AI is a massive demand catalyst: PPL is seeing 'massive data center requests to connect to its grids in Pennsylvania and Kentucky — demand at a scale it hadn't anticipated just a few years ago' [4]. The regulated utility model provides additional protection through franchise monopolies, guaranteed returns on invested capital, and regulatory barriers to entry. Every new AI data center in PPL's territory increases rate base investment, earnings, and long-term franchise value. AI Opportunity (1/1): PPL is co-developing generation infrastructure for data centers, generating meaningful load growth and rate base expansion from AI-driven demand [4]. The company has deployed AI internally through its Business Reinvention initiative for grid optimization, outage prediction, and operational efficiency. The CTIO role ensures systematic AI integration across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PPL Corporation Q1 2026 Earnings Release — GAAP EPS $0.60, Revenue $2.77B (up 10.8%), FY2026 Guidance Reaffirmed $1.90-$1.98, May 2026</w:t>
      </w:r>
    </w:p>
    <w:p>
      <w:pPr>
        <w:spacing w:before="20" w:after="20"/>
        <w:ind w:left="170"/>
      </w:pPr>
      <w:r>
        <w:rPr>
          <w:rFonts w:ascii="Calibri" w:hAnsi="Calibri"/>
          <w:b/>
          <w:color w:val="4A6B25"/>
          <w:sz w:val="15"/>
        </w:rPr>
        <w:t xml:space="preserve">2. </w:t>
      </w:r>
      <w:r>
        <w:rPr>
          <w:rFonts w:ascii="Calibri" w:hAnsi="Calibri"/>
          <w:b w:val="0"/>
          <w:color w:val="3A4A28"/>
          <w:sz w:val="17"/>
        </w:rPr>
        <w:t>PPL Corporation Financial Metrics — D/E 131%, ROE 8.16%, Forward P/E 18.2, Stock Analysis / CNBC,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PPL Corporation CTIO Appointment — Dean Del Vecchio, Chief Technology and Innovation Officer, Business Reinvention Initiative, February 2024</w:t>
      </w:r>
    </w:p>
    <w:p>
      <w:pPr>
        <w:spacing w:before="20" w:after="20"/>
        <w:ind w:left="170"/>
      </w:pPr>
      <w:r>
        <w:rPr>
          <w:rFonts w:ascii="Calibri" w:hAnsi="Calibri"/>
          <w:b/>
          <w:color w:val="4A6B25"/>
          <w:sz w:val="15"/>
        </w:rPr>
        <w:t xml:space="preserve">4. </w:t>
      </w:r>
      <w:r>
        <w:rPr>
          <w:rFonts w:ascii="Calibri" w:hAnsi="Calibri"/>
          <w:b w:val="0"/>
          <w:color w:val="3A4A28"/>
          <w:sz w:val="17"/>
        </w:rPr>
        <w:t>Electric Perspectives — CEO Vince Sorgi Interview on AI, Data Centers, and Utility of the Future Strategy, 2026</w:t>
      </w:r>
    </w:p>
    <w:p>
      <w:pPr>
        <w:spacing w:before="20" w:after="20"/>
        <w:ind w:left="170"/>
      </w:pPr>
      <w:r>
        <w:rPr>
          <w:rFonts w:ascii="Calibri" w:hAnsi="Calibri"/>
          <w:b/>
          <w:color w:val="4A6B25"/>
          <w:sz w:val="15"/>
        </w:rPr>
        <w:t xml:space="preserve">5. </w:t>
      </w:r>
      <w:r>
        <w:rPr>
          <w:rFonts w:ascii="Calibri" w:hAnsi="Calibri"/>
          <w:b w:val="0"/>
          <w:color w:val="3A4A28"/>
          <w:sz w:val="17"/>
        </w:rPr>
        <w:t>PPL Corporation Sustainability — Net-Zero by 2050, $23B Capital Plan, Coal Retirement by 2034, PA PUC Rate Case, 2025-2026</w:t>
      </w:r>
    </w:p>
    <w:p>
      <w:pPr>
        <w:spacing w:before="20" w:after="20"/>
        <w:ind w:left="170"/>
      </w:pPr>
      <w:r>
        <w:rPr>
          <w:rFonts w:ascii="Calibri" w:hAnsi="Calibri"/>
          <w:b/>
          <w:color w:val="4A6B25"/>
          <w:sz w:val="15"/>
        </w:rPr>
        <w:t xml:space="preserve">6. </w:t>
      </w:r>
      <w:r>
        <w:rPr>
          <w:rFonts w:ascii="Calibri" w:hAnsi="Calibri"/>
          <w:b w:val="0"/>
          <w:color w:val="3A4A28"/>
          <w:sz w:val="17"/>
        </w:rPr>
        <w:t>Glassdoor — PPL Corporation Reviews (670+ reviews, 3.1/5.0, 44% recommend, 2.7 culture and values),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