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PRU</w:t>
      </w:r>
      <w:r>
        <w:rPr>
          <w:rFonts w:ascii="Calibri" w:hAnsi="Calibri"/>
          <w:b/>
          <w:color w:val="1A2010"/>
          <w:sz w:val="40"/>
        </w:rPr>
        <w:t xml:space="preserve">  Prudential Financial, Inc.</w:t>
      </w:r>
    </w:p>
    <w:p>
      <w:pPr>
        <w:spacing w:after="120"/>
      </w:pPr>
      <w:r>
        <w:rPr>
          <w:rFonts w:ascii="Calibri" w:hAnsi="Calibri"/>
          <w:b/>
          <w:color w:val="6E8450"/>
          <w:sz w:val="18"/>
        </w:rPr>
        <w:t>DIVIDEND SLEEVE · 2026-07-15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Prudential Financial, Inc. is a global financial services company providing insurance, investment management, and other financial products and services in the United States, Asia, Europe, and Latin America. Operates through PGIM (one of the world's largest asset managers with $1.43 trillion AUM), US Businesses (individual life, group insurance, retirement solutions), and International Businesses segments. Founded in 1875 and headquartered in Newark, New Jersey.</w:t>
      </w:r>
    </w:p>
    <w:p>
      <w:r>
        <w:rPr>
          <w:rFonts w:ascii="Calibri" w:hAnsi="Calibri"/>
          <w:b/>
          <w:color w:val="6E8450"/>
          <w:sz w:val="18"/>
        </w:rPr>
        <w:t>40,000 Employees · https://www.prudential.com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Prudential has evolved incrementally over the last five years, growing PGIM to $1.43T AUM and transitioning CEO leadership from Charles Lowrey to Andy Sullivan in March 2025, but no transformative product launch, market pivot, or business model transformation has occurred [1][2]. The company sold its full-service retirement business and refocused on higher-margin segments — strategic but incremental. AI Deployment (0/2): No evidence of AI-powered products shipping to customers or quantified AI-driven cost savings. Under CEO Anil Wadhwani at the Asia operations, leadership has invested in technology talent and claims eight of ten tech initiatives deliver discernible business benefits, but no specific AI revenue or savings figures are disclosed [2]. Market Share (1/2): PGIM is a top-10 global asset manager with $1.43T AUM, and Prudential remains one of the largest US life insurers, but the company is not gaining share in any new category — it is a well-established incumbent [1]. Product Pipeline (0/2): No specific next-generation financial products announced with launch timelines. Standard insurance and retirement product evolution. R&amp;D Intensity (0/1): Financial services companies do not report R&amp;D in the traditional sense; technology spending is significant but not categorized as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Prudential's mission — 'making lives better by solving the financial challenges of our changing world' — is clear and identifies what the company does and for whom, but does not articulate a distinctive deeper purpose; it is interchangeable with peer life insurers [2]. Community &amp; Charitable Impact (1/2): The Prudential Foundation has a long history of community investment, and the company released its first ESG Summary Report in March 2021 highlighting sustainable actions related to its environmental footprint, diversity and inclusion, talent, and governance [3]. However, no distinctive programs with specific dollar amounts or measurable impact were identified beyond standard corporate philanthropy. Employee Retention (0/2): Leadership transition from Lowrey to Sullivan, plus technology and operations leadership reorganization in 2024-2025, suggest organizational reshuffling [2]. Vicki Walia as Chief People Officer emphasizes a 'high-performance culture' but no specific tenure, turnover, or retention data is publicly available. Insider Buying (0/2): No evidence of meaningful net insider buying by CEO Andy Sullivan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Q1 2026 after-tax adjusted operating income rose to $1.278B versus $1.188B a year earlier, with adjusted EPS increasing to $3.61 [1]. PGIM adjusted operating income grew 22% to $190M as AUM reached $1.43T [1]. Forward P/E of 8.44 and PEG of 0.90 indicate deep value pricing for the earnings profile. D/E of 72.28% is near the 70% target, reflecting disciplined leverage for a major insurer [5]. ROE of 11.08% is below the 15% target but solid for a diversified insurance franchise. Profit margin of 5.99% is structurally constrained by the insurance business model. Dividend yield of 4.86% with 13 consecutive years of growth and a 5yr dividend growth CAGR of 4.2% provides reliable income, though the payout ratio of 54.2% and below-target dividend growth rate (4.2% vs 6% target) are modest negatives [5]. The $525-575M pretax impact from Prudential of Japan's suspension is a notable headwind to 2026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Prudential Financial has endured since 1875 — one of America's oldest financial institutions — demonstrating organizational resilience across 150 years of market cycles, world wars, and industry transformations. However, the company's recent strategic moves reflect cautious incremental evolution rather than purpose-driven transformation. The CEO transition to Andy Sullivan and organizational restructuring suggest a company recalibrating its direction, not one driven by an unwavering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Prudential's purpose of 'making lives better by solving the financial challenges of our changing world' is genuine but not transformative — it describes what any life insurer does. The 150-year history demonstrates extraordinary durability, but longevity alone does not constitute a Just Cause in Sinek's framework [2]. Strategic decisions (business divestitures, PGIM growth, Japan market navigation) trace to financial optimization rather than advancing a distinctive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Prudential's Chief People Officer Vicki Walia leads efforts to shape an 'innovative, inclusive and high-performing workplace culture,' with responsibility for global talent strategy [2]. The company maintains a large, stable workforce of ~40,000 employees. However, the 2024-2025 leadership transition and technology/operations reorganization suggest organizational reshuffling that can create uncertainty. No specific retention or turnover data is available, and the 'high-performance culture' language can signal either empowerment or pressure depending on execution.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Prudential competes with MetLife, AIG, and Allianz in insurance, and with BlackRock, Vanguard, and Fidelity in asset management through PGIM. The company focuses on its own strengths — PGIM's investment performance, retirement expertise, and global distribution — rather than obsessing over beating specific competitors. The competitive language emphasizes building capabilities rather than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its 150-year history, Prudential has evolved from a mutual insurance company to a publicly traded diversified financial services firm (2001 demutualization), built PGIM into a $1.43T global asset manager, expanded internationally into Asia, and divested lower-margin businesses [1]. These represent meaningful strategic evolution over decades, though each pivot was incremental rather than transformative. No evidence of the dramatic, purpose-driven strategic shifts that characterize Sinek's exemplars.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CEO transition from Lowrey to Sullivan represents leadership renewal, and management has navigated the $525-575M Prudential of Japan suspension impact with transparent guidance rather than hiding behind adjustments [1]. The decision to divest lower-margin businesses and focus on PGIM and core insurance operations demonstrates strategic prioritization. However, no dramatic examples of choosing long-term investment over short-term earnings or taking principled stands that cost money.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Prudential Financial delivered Q1 2026 adjusted operating income of $1.278B (up from $1.188B YoY) with adjusted EPS of $3.61, while PGIM grew adjusted operating income 22% to $190M as AUM reached $1.43T [1]. At 8.44x forward earnings with a 4.86% dividend yield and 13 consecutive years of dividend growth, PRU offers deep value pricing for a diversified financial franchise with a 150-year operating history. The balance sheet is disciplined at 72.28% D/E, and the PEG ratio of 0.90 suggests earnings growth is priced attractively. TTM net income of $3.47B grew 51% YoY, demonstrating earnings power recovery [5].</w:t>
      </w:r>
    </w:p>
    <w:p>
      <w:pPr>
        <w:spacing w:after="120"/>
      </w:pPr>
      <w:r>
        <w:rPr>
          <w:rFonts w:ascii="Calibri" w:hAnsi="Calibri"/>
          <w:b w:val="0"/>
          <w:color w:val="3A4A28"/>
          <w:sz w:val="20"/>
        </w:rPr>
        <w:t>The bear case centers on structural growth challenges and near-term earnings headwinds. The $525-575M pretax impact from Prudential of Japan's suspension will meaningfully pressure 2026 adjusted operating income [1]. Revenue growth of 4.08% TTM and an estimated 2% five-year CAGR reflect the mature, low-growth nature of the core insurance franchise. ROE of 11.08% falls below the 15% target, and profit margin of 5.99% is constrained by the insurance business model's inherent cost structure. The CEO transition to Andy Sullivan (March 2025) introduces leadership uncertainty during a period of strategic recalibration. The Inspire Insight score of -49 (MISALIGNED) may concern faith-aligned investors, and the below-target 4.2% five-year dividend growth CAGR (vs. 6% target) suggests limited income growth despite the attractive current yield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PGIM AUM growth trajectory toward $1.5T+ as asset management fee revenue compounds at higher margins than the insurance book, with Q1 2026 adjusted income already up 22% YoY</w:t>
      </w:r>
    </w:p>
    <w:p>
      <w:pPr>
        <w:spacing w:before="40" w:after="40"/>
        <w:ind w:left="283"/>
      </w:pPr>
      <w:r>
        <w:rPr>
          <w:rFonts w:ascii="Calibri" w:hAnsi="Calibri"/>
          <w:b/>
          <w:color w:val="4A6B25"/>
          <w:sz w:val="20"/>
        </w:rPr>
        <w:t xml:space="preserve">2. </w:t>
      </w:r>
      <w:r>
        <w:rPr>
          <w:rFonts w:ascii="Calibri" w:hAnsi="Calibri"/>
          <w:b w:val="0"/>
          <w:color w:val="3A4A28"/>
          <w:sz w:val="20"/>
        </w:rPr>
        <w:t>Resolution of Prudential of Japan suspension impact ($525-575M) in 2027 should restore normalized earnings power and reduce the overhang on the stock's valuation multiple</w:t>
      </w:r>
    </w:p>
    <w:p>
      <w:pPr>
        <w:spacing w:before="40" w:after="40"/>
        <w:ind w:left="283"/>
      </w:pPr>
      <w:r>
        <w:rPr>
          <w:rFonts w:ascii="Calibri" w:hAnsi="Calibri"/>
          <w:b/>
          <w:color w:val="4A6B25"/>
          <w:sz w:val="20"/>
        </w:rPr>
        <w:t xml:space="preserve">3. </w:t>
      </w:r>
      <w:r>
        <w:rPr>
          <w:rFonts w:ascii="Calibri" w:hAnsi="Calibri"/>
          <w:b w:val="0"/>
          <w:color w:val="3A4A28"/>
          <w:sz w:val="20"/>
        </w:rPr>
        <w:t>Deep value pricing at 8.44x forward PE with 4.86% yield creates significant upside potential if the market re-rates PRU toward peer multiples as earnings normalize post-Japan headwind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Prudential of Japan suspension creates a $525-575M pretax headwind to 2026 adjusted operating income, obscuring underlying earnings trends and potentially forcing reserve adjustments</w:t>
      </w:r>
    </w:p>
    <w:p>
      <w:pPr>
        <w:spacing w:before="40" w:after="40"/>
        <w:ind w:left="283"/>
      </w:pPr>
      <w:r>
        <w:rPr>
          <w:rFonts w:ascii="Calibri" w:hAnsi="Calibri"/>
          <w:b/>
          <w:color w:val="4A6B25"/>
          <w:sz w:val="20"/>
        </w:rPr>
        <w:t xml:space="preserve">2. </w:t>
      </w:r>
      <w:r>
        <w:rPr>
          <w:rFonts w:ascii="Calibri" w:hAnsi="Calibri"/>
          <w:b w:val="0"/>
          <w:color w:val="3A4A28"/>
          <w:sz w:val="20"/>
        </w:rPr>
        <w:t>Structural low-growth profile — 4.08% TTM revenue growth and ~2% five-year CAGR — limits multiple expansion potential in a market that rewards growth, leaving PRU trapped in value territory</w:t>
      </w:r>
    </w:p>
    <w:p>
      <w:pPr>
        <w:spacing w:before="40" w:after="40"/>
        <w:ind w:left="283"/>
      </w:pPr>
      <w:r>
        <w:rPr>
          <w:rFonts w:ascii="Calibri" w:hAnsi="Calibri"/>
          <w:b/>
          <w:color w:val="4A6B25"/>
          <w:sz w:val="20"/>
        </w:rPr>
        <w:t xml:space="preserve">3. </w:t>
      </w:r>
      <w:r>
        <w:rPr>
          <w:rFonts w:ascii="Calibri" w:hAnsi="Calibri"/>
          <w:b w:val="0"/>
          <w:color w:val="3A4A28"/>
          <w:sz w:val="20"/>
        </w:rPr>
        <w:t>CEO transition to Andy Sullivan during strategic recalibration introduces execution risk, compounded by technology/operations leadership reorganization in 2024-2025 that may disrupt institutional knowledge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Prudential's core insurance and retirement businesses are protected by deep regulatory moats (state insurance regulation, capital requirements, long-tail liability management), complex actuarial processes, and long-term policyholder relationships that AI cannot easily substitute [1]. PGIM's $1.43T asset management franchise benefits from institutional relationships and fiduciary trust that require human judgment. However, insurtech and fintech startups are deploying AI for automated underwriting, claims processing, and personalized pricing, creating real competitive pressure on distribution and operational efficiency. The Prudential of Japan suspension demonstrates the regulatory complexity that protects incumbents but also constrains them [1]. AI Opportunity (0/1): No evidence of quantifiable AI-driven revenue or products. Leadership has invested in technology talent but has not disclosed specific AI products, cost savings, or revenue contributions.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Prudential Financial Q1 2026 Earnings Release — investor.prudential.com, May 2026</w:t>
      </w:r>
    </w:p>
    <w:p>
      <w:pPr>
        <w:spacing w:before="20" w:after="20"/>
        <w:ind w:left="170"/>
      </w:pPr>
      <w:r>
        <w:rPr>
          <w:rFonts w:ascii="Calibri" w:hAnsi="Calibri"/>
          <w:b/>
          <w:color w:val="4A6B25"/>
          <w:sz w:val="15"/>
        </w:rPr>
        <w:t xml:space="preserve">2. </w:t>
      </w:r>
      <w:r>
        <w:rPr>
          <w:rFonts w:ascii="Calibri" w:hAnsi="Calibri"/>
          <w:b w:val="0"/>
          <w:color w:val="3A4A28"/>
          <w:sz w:val="17"/>
        </w:rPr>
        <w:t>Prudential Financial Leadership Alignment and CEO Transition Announcements — news.prudential.com, 2024-2025</w:t>
      </w:r>
    </w:p>
    <w:p>
      <w:pPr>
        <w:spacing w:before="20" w:after="20"/>
        <w:ind w:left="170"/>
      </w:pPr>
      <w:r>
        <w:rPr>
          <w:rFonts w:ascii="Calibri" w:hAnsi="Calibri"/>
          <w:b/>
          <w:color w:val="4A6B25"/>
          <w:sz w:val="15"/>
        </w:rPr>
        <w:t xml:space="preserve">3. </w:t>
      </w:r>
      <w:r>
        <w:rPr>
          <w:rFonts w:ascii="Calibri" w:hAnsi="Calibri"/>
          <w:b w:val="0"/>
          <w:color w:val="3A4A28"/>
          <w:sz w:val="17"/>
        </w:rPr>
        <w:t>Prudential Financial ESG Summary Report — news.prudential.com, March 2021</w:t>
      </w:r>
    </w:p>
    <w:p>
      <w:pPr>
        <w:spacing w:before="20" w:after="20"/>
        <w:ind w:left="170"/>
      </w:pPr>
      <w:r>
        <w:rPr>
          <w:rFonts w:ascii="Calibri" w:hAnsi="Calibri"/>
          <w:b/>
          <w:color w:val="4A6B25"/>
          <w:sz w:val="15"/>
        </w:rPr>
        <w:t xml:space="preserve">4. </w:t>
      </w:r>
      <w:r>
        <w:rPr>
          <w:rFonts w:ascii="Calibri" w:hAnsi="Calibri"/>
          <w:b w:val="0"/>
          <w:color w:val="3A4A28"/>
          <w:sz w:val="17"/>
        </w:rPr>
        <w:t>MacroTrends — PRU Revenue, PE Ratio, and Financial Historical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PRU Key Statistics, Dividend Data, and Valuation Metrics,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