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w:t>
      </w:r>
      <w:r>
        <w:rPr>
          <w:rFonts w:ascii="Calibri" w:hAnsi="Calibri"/>
          <w:b/>
          <w:color w:val="1A2010"/>
          <w:sz w:val="40"/>
        </w:rPr>
        <w:t xml:space="preserve">  Parsons Corporation</w:t>
      </w:r>
    </w:p>
    <w:p>
      <w:pPr>
        <w:spacing w:after="120"/>
      </w:pPr>
      <w:r>
        <w:rPr>
          <w:rFonts w:ascii="Calibri" w:hAnsi="Calibri"/>
          <w:b/>
          <w:color w:val="6E8450"/>
          <w:sz w:val="18"/>
        </w:rPr>
        <w:t>GROWTH SLEEVE · 2026-08-04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Parsons Corporation provides technology-driven defense, intelligence, and critical infrastructure solutions to U.S. federal government and commercial customers worldwide. Operates through Federal Solutions (cyber, missile defense, intelligence, space) and Critical Infrastructure (transportation, environmental, water, energy) segments. Founded in 1944, headquartered in Chantilly, Virginia. Market cap approximately $5.2B.</w:t>
      </w:r>
    </w:p>
    <w:p>
      <w:r>
        <w:rPr>
          <w:rFonts w:ascii="Calibri" w:hAnsi="Calibri"/>
          <w:b/>
          <w:color w:val="6E8450"/>
          <w:sz w:val="18"/>
        </w:rPr>
        <w:t>18,500 Employees · https://www.parsons.com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Parsons acquired Altamira Technologies for $375M in Q1 2026 to bolster AI and intelligence capabilities and has shifted from pure engineering to technology-enabled defense/infrastructure, but this represents incremental portfolio extension rather than transformative business model pivot [1]. AI Deployment (2/2): Eight of the last ten $100M+ contract wins included a critical AI differentiator [3]. AI-enabled solutions in autonomous cyber, counter-UAS detection, electronic warfare planning, and the intelligent network smart mobility platform are generating revenue and driving margin expansion across both segments [3]. Market Share (1/2): Parsons holds meaningful mid-tier positions in defense IT and critical infrastructure with $9.3B record backlog, but is not a category leader — Leidos, SAIC, and Booz Allen hold larger federal IT market share in each vertical [1]. Product Pipeline (1/2): PALADIN Lab at Aberdeen Proving Ground provides collaborative AI development, and the July 2026 product portfolio expansion across defense and infrastructure demonstrates pipeline visibility, though specific next-gen timelines remain limited due to classified programs [3]. R&amp;D Intensity (0/1): As a government contractor, R&amp;D is primarily embedded within customer-funded programs; no standalone R&amp;D spending data is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Parsons' purpose — 'Imagine next. Protect the future.' — clearly identifies what the company does (technology-driven defense and infrastructure) and connects to national security, but is not deeply distinctive among defense/infrastructure peers and does not articulate a transformative future state [5]. Community Impact (1/2): The CARE (Cultivating a Responsible Enterprise) strategy achieved 25% GHG reduction exceeding the 20% target, with Net-Zero commitment aligned with SBTi science-based targets, plus diversity/inclusion initiatives — well-executed corporate ESG but not distinctive community investment [4]. Employee Retention (1/2): Glassdoor rating of 4.0/5.0 with 81% recommending to a friend and 73% positive outlook; ranked #27 on Glassdoor's Best-Led Companies list in 2025, the highest among national security companies [2]. Insider Buying (0/2): No evidence of meaningful net insider buying by CEO Carey Smith or other executives identified in research; director RSU grants represent compensation, not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60% is comfortably below the 70% target despite $1.5B long-term debt post-Altamira acquisition [1][6]. Forward P/E of 14.66 is attractively below the 20 target, reflecting the 35% stock price decline over the past year to $48.24 [6]. ROE of 8.24% is below the 15% target, dragged by goodwill-heavy balance sheet from acquisitions. Profit margin of 3.62% ($228M net income on $6.29B TTM revenue) is structurally low for government contracting and scores poorly against the 20% target [1][6]. Five-year revenue CAGR of approximately 11% exceeds the 10% target, driven by organic growth and strategic acquisitions. Forward PEG of 2.52 exceeds the 1.0 target. FY2026 guidance of $6.5-6.8B revenue represents 4.5% growth at midpoint [1]. Liquidity floor cleared: 1.77M avg volume x $48.24 = $85.4M.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Parsons demonstrates elements of infinite game thinking through its 80-year history and evolution from a pure engineering firm to a technology-driven defense/infrastructure company. CEO Carey Smith's people-first leadership and Glassdoor recognition signal genuine organizational trust, and AI investment shows forward-looking capability building. However, the purpose statement lacks the transformative depth Sinek would require, and competitive language emphasizes winning contracts over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'Imagine next. Protect the future.' articulates what Parsons does and hints at a larger purpose around national security and resilient infrastructure, but reads as marketing rather than a deeply-held cause that shapes strategic decisions [5]. The 80-year history demonstrates endurance, but the purpose statement is interchangeable with defense/infrastructure peers. No evidence the Just Cause drove costly strategic decisions or survived a crisis test under its current articulation.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Parsons ranked #27 on Glassdoor's Best-Led Companies list — the highest-ranked national security company — with a 4.0/5.0 overall rating, 81% of employees recommending the company, and 73% positive business outlook [2]. CEO Smith has invested in company-wide LinkedIn Learning licenses, facilitated professional development courses, and cohort-based leadership programs. The people-first culture extends beyond rhetoric — reviews describe leadership as 'inviting, learning-led, and balanced,' indicating genuine psychological safety for a defense-sector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Parsons' competitive language focuses on winning contract awards and growing market share against peers like Leidos, SAIC, and Booz Allen Hamilton. No evidence found of management acknowledging rivals' strengths as motivation for self-improvement or framing competition as an opportunity to learn. The emphasis on bookings growth, book-to-bill ratios, and contract wins reflects a finite competitive mindset typical of the defense contracting industry.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Parsons has evolved meaningfully from a pure engineering and construction firm (founded 1944) into a technology-driven defense, intelligence, and infrastructure company, including the 2019 IPO and subsequent strategic pivot toward AI-enabled solutions [5]. The Altamira acquisition and PALADIN Lab represent real capability transformation, but the evolution was incremental over decades rather than a transformative single pivot — the company still delivers engineering services alongside its technology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Carey Smith's $375M Altamira acquisition and aggressive AI investment strategy demonstrate willingness to invest in long-term capabilities during federal budget uncertainty [1]. The decision to embed AI as a core differentiator across all major contract pursuits — when many defense peers were still in exploration mode — shows forward-looking conviction. However, these investments remain within the company's existing domain and the $284M cash position against $1.5B debt suggests these bets are operationally prudent rather than costly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Parsons holds a record $9.3B backlog (71% funded) with Q1 2026 book-to-bill of 1.4x, providing multi-year revenue visibility through FY2027+ [1]. The AI-embedded strategy is a genuine differentiator — eight of ten recent $100M+ wins included critical AI components — driving adjusted EBITDA margin to a Q1 record 10.1% despite top-line softness [1][3]. FY2026 guidance of $6.5-6.8B revenue and $615-675M adjusted EBITDA implies continued improvement, with the Middle East business delivering 10% organic growth and the Altamira acquisition adding intelligence community capabilities. At 14.66x forward P/E, Parsons trades at a discount to defense peers despite stronger technology positioning.</w:t>
      </w:r>
    </w:p>
    <w:p>
      <w:pPr>
        <w:spacing w:after="120"/>
      </w:pPr>
      <w:r>
        <w:rPr>
          <w:rFonts w:ascii="Calibri" w:hAnsi="Calibri"/>
          <w:b w:val="0"/>
          <w:color w:val="3A4A28"/>
          <w:sz w:val="20"/>
        </w:rPr>
        <w:t>The stock's 35% decline over the past year reflects real execution concerns: Q1 2026 revenue declined 4% YoY (-8% organic) as a confidential contract wind-down masked underlying growth, GAAP EPS fell 18% to $0.49, and net income dropped 20% to $53M [1]. Profit margin of 3.62% is structurally low for government contracting, limiting earnings power even as revenue scales. Long-term debt rose to $1.5B post-Altamira on only $284M cash, and PEG of 2.52 suggests the valuation prices in growth that the 3-year revenue growth forecast of 4% may not support [6]. ROE of 8.24% is below peer averages and the 15% target, reflecting the capital-intensive, goodwill-heavy balance sheet. Federal budget uncertainty and potential defense spending reprioritization remain overhanging risks for the 58% of revenue generated by the Federal Solutions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$9.3B total backlog with 1.4x Q1 book-to-bill converting to revenue acceleration in H2 2026, potentially driving FY2027 organic growth above 5% as the confidential contract drag anniversaries</w:t>
      </w:r>
    </w:p>
    <w:p>
      <w:pPr>
        <w:spacing w:before="40" w:after="40"/>
        <w:ind w:left="283"/>
      </w:pPr>
      <w:r>
        <w:rPr>
          <w:rFonts w:ascii="Calibri" w:hAnsi="Calibri"/>
          <w:b/>
          <w:color w:val="4A6B25"/>
          <w:sz w:val="20"/>
        </w:rPr>
        <w:t xml:space="preserve">2. </w:t>
      </w:r>
      <w:r>
        <w:rPr>
          <w:rFonts w:ascii="Calibri" w:hAnsi="Calibri"/>
          <w:b w:val="0"/>
          <w:color w:val="3A4A28"/>
          <w:sz w:val="20"/>
        </w:rPr>
        <w:t>AI-embedded product strategy expanding from defense into Critical Infrastructure, with PALADIN Lab and Altamira Technologies capabilities creating new revenue streams in commercial and allied international markets [3]</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toward 11%+ as higher-margin technology content displaces lower-margin engineering services in the revenue mix, with Q1 2026 already at record 10.1%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Confidential contract wind-down continues to mask underlying organic growth, with Q1 organic revenue declining 8% YoY — if replacement contracts are delayed, the $6.5-6.8B revenue guidance may require downward revision [1]</w:t>
      </w:r>
    </w:p>
    <w:p>
      <w:pPr>
        <w:spacing w:before="40" w:after="40"/>
        <w:ind w:left="283"/>
      </w:pPr>
      <w:r>
        <w:rPr>
          <w:rFonts w:ascii="Calibri" w:hAnsi="Calibri"/>
          <w:b/>
          <w:color w:val="4A6B25"/>
          <w:sz w:val="20"/>
        </w:rPr>
        <w:t xml:space="preserve">2. </w:t>
      </w:r>
      <w:r>
        <w:rPr>
          <w:rFonts w:ascii="Calibri" w:hAnsi="Calibri"/>
          <w:b w:val="0"/>
          <w:color w:val="3A4A28"/>
          <w:sz w:val="20"/>
        </w:rPr>
        <w:t>Long-term debt of $1.5B on $284M cash post-Altamira acquisition creates leverage risk if defense spending is reduced under future budget sequestration or continuing resolutions</w:t>
      </w:r>
    </w:p>
    <w:p>
      <w:pPr>
        <w:spacing w:before="40" w:after="40"/>
        <w:ind w:left="283"/>
      </w:pPr>
      <w:r>
        <w:rPr>
          <w:rFonts w:ascii="Calibri" w:hAnsi="Calibri"/>
          <w:b/>
          <w:color w:val="4A6B25"/>
          <w:sz w:val="20"/>
        </w:rPr>
        <w:t xml:space="preserve">3. </w:t>
      </w:r>
      <w:r>
        <w:rPr>
          <w:rFonts w:ascii="Calibri" w:hAnsi="Calibri"/>
          <w:b w:val="0"/>
          <w:color w:val="3A4A28"/>
          <w:sz w:val="20"/>
        </w:rPr>
        <w:t>Structural 3-4% net profit margin limits earnings upside even in a growth scenario — at $48.24 per share, the stock needs sustained revenue growth above 5% to justify current valuation versus higher-margin defense peers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Parsons' core business — defense systems integration, critical infrastructure engineering, cybersecurity, and intelligence solutions — involves physical-world operations, security-cleared personnel, and deeply regulated government processes that AI structurally cannot displace [3][5]. Government contracting relationships, facility clearances, and program-of-record incumbency create barriers immune to AI substitution. AI is a net enabler: DoD AI modernization programs create new contract opportunities, and AI-powered data centers increase demand for infrastructure engineering. Analysts see zero substitution risk for Parsons' core services. AI Opportunity (1/1): Parsons generates meaningful AI revenue — eight of the last ten $100M+ contract wins included a critical AI differentiator, with deployed products including autonomous cyber tools, counter-UAS detection systems, electronic warfare planning platforms, and PALADIN Lab collaborative AI capabilities generating revenue across both Federal Solutions and Critical Infrastructure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Parsons Corporation Q1 2026 Earnings Release — $1.491B revenue, record $151M adjusted EBITDA, $9.3B backlog, April 2026</w:t>
      </w:r>
    </w:p>
    <w:p>
      <w:pPr>
        <w:spacing w:before="20" w:after="20"/>
        <w:ind w:left="170"/>
      </w:pPr>
      <w:r>
        <w:rPr>
          <w:rFonts w:ascii="Calibri" w:hAnsi="Calibri"/>
          <w:b/>
          <w:color w:val="4A6B25"/>
          <w:sz w:val="15"/>
        </w:rPr>
        <w:t xml:space="preserve">2. </w:t>
      </w:r>
      <w:r>
        <w:rPr>
          <w:rFonts w:ascii="Calibri" w:hAnsi="Calibri"/>
          <w:b w:val="0"/>
          <w:color w:val="3A4A28"/>
          <w:sz w:val="17"/>
        </w:rPr>
        <w:t>Parsons Honored as One of Glassdoor's Best-Led Companies (#27) — investors.parsons.com, October 2025</w:t>
      </w:r>
    </w:p>
    <w:p>
      <w:pPr>
        <w:spacing w:before="20" w:after="20"/>
        <w:ind w:left="170"/>
      </w:pPr>
      <w:r>
        <w:rPr>
          <w:rFonts w:ascii="Calibri" w:hAnsi="Calibri"/>
          <w:b/>
          <w:color w:val="4A6B25"/>
          <w:sz w:val="15"/>
        </w:rPr>
        <w:t xml:space="preserve">3. </w:t>
      </w:r>
      <w:r>
        <w:rPr>
          <w:rFonts w:ascii="Calibri" w:hAnsi="Calibri"/>
          <w:b w:val="0"/>
          <w:color w:val="3A4A28"/>
          <w:sz w:val="17"/>
        </w:rPr>
        <w:t>Parsons Accelerates Mission Success with Advanced AI — GlobeNewsWire, June 2026; Parsons Expands Mission-Focused Product Portfolio, July 2026</w:t>
      </w:r>
    </w:p>
    <w:p>
      <w:pPr>
        <w:spacing w:before="20" w:after="20"/>
        <w:ind w:left="170"/>
      </w:pPr>
      <w:r>
        <w:rPr>
          <w:rFonts w:ascii="Calibri" w:hAnsi="Calibri"/>
          <w:b/>
          <w:color w:val="4A6B25"/>
          <w:sz w:val="15"/>
        </w:rPr>
        <w:t xml:space="preserve">4. </w:t>
      </w:r>
      <w:r>
        <w:rPr>
          <w:rFonts w:ascii="Calibri" w:hAnsi="Calibri"/>
          <w:b w:val="0"/>
          <w:color w:val="3A4A28"/>
          <w:sz w:val="17"/>
        </w:rPr>
        <w:t>Parsons CARE ESG Strategy — Net-Zero commitment, 25% GHG reduction achieved, GlobeNewsWire, April 2022</w:t>
      </w:r>
    </w:p>
    <w:p>
      <w:pPr>
        <w:spacing w:before="20" w:after="20"/>
        <w:ind w:left="170"/>
      </w:pPr>
      <w:r>
        <w:rPr>
          <w:rFonts w:ascii="Calibri" w:hAnsi="Calibri"/>
          <w:b/>
          <w:color w:val="4A6B25"/>
          <w:sz w:val="15"/>
        </w:rPr>
        <w:t xml:space="preserve">5. </w:t>
      </w:r>
      <w:r>
        <w:rPr>
          <w:rFonts w:ascii="Calibri" w:hAnsi="Calibri"/>
          <w:b w:val="0"/>
          <w:color w:val="3A4A28"/>
          <w:sz w:val="17"/>
        </w:rPr>
        <w:t>Parsons Corporation Leadership and Mission — parsons.com,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PSN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