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PSX</w:t>
      </w:r>
      <w:r>
        <w:rPr>
          <w:rFonts w:ascii="Calibri" w:hAnsi="Calibri"/>
          <w:b/>
          <w:color w:val="1A2010"/>
          <w:sz w:val="40"/>
        </w:rPr>
        <w:t xml:space="preserve">  Phillips 66</w:t>
      </w:r>
    </w:p>
    <w:p>
      <w:pPr>
        <w:spacing w:after="120"/>
      </w:pPr>
      <w:r>
        <w:rPr>
          <w:rFonts w:ascii="Calibri" w:hAnsi="Calibri"/>
          <w:b/>
          <w:color w:val="6E8450"/>
          <w:sz w:val="18"/>
        </w:rPr>
        <w:t>DIVIDEND SLEEVE · 2026-07-11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Phillips 66 operates as an integrated downstream energy provider through Midstream, Chemicals, Refining, Marketing and Specialties, and Renewable Fuels segments. The company processes crude oil, produces refined products, operates pipeline networks, and manufactures chemicals through its CPChem joint venture with Chevron.</w:t>
      </w:r>
    </w:p>
    <w:p>
      <w:r>
        <w:rPr>
          <w:rFonts w:ascii="Calibri" w:hAnsi="Calibri"/>
          <w:b/>
          <w:color w:val="6E8450"/>
          <w:sz w:val="18"/>
        </w:rPr>
        <w:t>12,600 Employees · https://www.phillips66.com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Phillips 66 completed a renewable fuels conversion at its Rodeo facility, representing a meaningful pivot from traditional refining, but no transformative business model innovation — the company remains fundamentally a refining and midstream operator [1]. AI Deployment (0/2): No meaningful AI product deployment or quantified AI-driven savings identified. Market Share (2/2): One of the largest US independent refiners with 1.8M BPD capacity, operating at 95% utilization in Q1 2026, plus CPChem's top-tier chemical manufacturing position and extensive midstream pipeline network [1]. Product Pipeline (1/2): Rodeo Renewed facility expansion and midstream growth projects provide some pipeline visibility. R&amp;D Intensity (0/1): Energy refining industry has minimal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Phillips 66's purpose of providing energy products responsibly is generic — interchangeable with any energy company. Community Impact (1/2): Significant community investment programs and disaster response capabilities through operating communities, standard for a Fortune 50 energy company. Employee Retention (1/2): CEO Mark Lashier has led since 2022, following activist pressure. 12,600 employees with stable operations. Insider Buying (1/2): Elliott Management's activist campaign and management's aggressive share repurchases signal institutional confidence.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metrics. Q1 2026 revenue of $33B with net income of $207M and EPS of $0.51 — well below historical earnings due to weak refining margins [1]. D/E of 91.4% is above the 70% target (0.91). ROE of 14.55% approaches but falls short of the 15% target (0.97). Forward PE of 10.58 is below the 20 target (1.0). Profit margin of 3.07% is thin (0.15). Revenue growth of 6.9% is below the 10% target (0.90). Dividend yield of 2.68% with payout ratio of 48.12% (above 40% target, 0.87, 1x weight). Consecutive years paid 10+ (1.0, 2x weight). Consecutive years growth 5+ (0.5, 1x weight). Dividend growth CAGR estimated ~5% (0.83, 2x weight).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Phillips 66 operates with a mixed finite/infinite mindset. The Rodeo Renewed renewable fuels conversion shows some forward thinking, but the company's strategic direction has been heavily influenced by activist pressure from Elliott Management, and the focus on share buybacks and capital returns suggests primarily finite game optimization.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Phillips 66's purpose of providing energy products responsibly is generic and has not demonstrably driven transformative strategic decisions. The activist-influenced management change and buyback focus suggest the company is optimizing for shareholder returns rather than a broader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Mark Lashier has stabilized operations since 2022, with 12,600 employees across refining, midstream, and chemical operations. The company maintains operational excellence with 95% refinery utilization, suggesting disciplined execution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Phillips 66's competitive positioning is primarily framed in terms of cost optimization and operational efficiency versus peers (Valero, Marathon), with competitive language focused on market positioning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Rodeo Renewed renewable fuels conversion demonstrates willingness to evolve the refining model toward lower-carbon products, representing meaningful strategic adaptation even if driven partly by regulatory requirements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management change under activist pressure and subsequent focus on capital returns suggest the company is following external direction rather than leading with conviction. No evidence of sacrificing short-term results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Phillips 66 offers a diversified downstream energy portfolio with Midstream ($591M segment earnings), Chemicals ($114M), and Refining ($208M) in Q1 2026, providing earnings diversification beyond volatile crack spreads [1]. At 10.58x forward earnings with analyst projections of $13.88 FY2026 EPS, the stock offers value. The 2.68% dividend yield with 13 consecutive years of payments provides income. The Rodeo Renewed conversion positions the company for the energy transition.</w:t>
      </w:r>
    </w:p>
    <w:p>
      <w:pPr>
        <w:spacing w:after="120"/>
      </w:pPr>
      <w:r>
        <w:rPr>
          <w:rFonts w:ascii="Calibri" w:hAnsi="Calibri"/>
          <w:b w:val="0"/>
          <w:color w:val="3A4A28"/>
          <w:sz w:val="20"/>
        </w:rPr>
        <w:t>The primary concern is earnings volatility — Q1 2026 EPS of $0.51 was dramatically below historical levels due to weak refining margins, and EPS declined 57.5% YoY. Payout ratio of 48.12% is above the 40% comfort level, suggesting dividend growth may slow if refining margins stay compressed. D/E of 91.4% is elevated for a cyclical business, and the thin 3.07% profit margin provides limited cushion in downturns. The company's strategic direction has been shaped by activist pressure rather than organic leadership conviction, raising questions about long-term strategic consistency.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Refining margin recovery from cyclical lows could drive significant EPS rebound toward analyst consensus of $13.88 for FY2026</w:t>
      </w:r>
    </w:p>
    <w:p>
      <w:pPr>
        <w:spacing w:before="40" w:after="40"/>
        <w:ind w:left="283"/>
      </w:pPr>
      <w:r>
        <w:rPr>
          <w:rFonts w:ascii="Calibri" w:hAnsi="Calibri"/>
          <w:b/>
          <w:color w:val="4A6B25"/>
          <w:sz w:val="20"/>
        </w:rPr>
        <w:t xml:space="preserve">2. </w:t>
      </w:r>
      <w:r>
        <w:rPr>
          <w:rFonts w:ascii="Calibri" w:hAnsi="Calibri"/>
          <w:b w:val="0"/>
          <w:color w:val="3A4A28"/>
          <w:sz w:val="20"/>
        </w:rPr>
        <w:t>Midstream earnings stability ($591M in Q1) provides a growing, less volatile earnings base to complement cyclical refining</w:t>
      </w:r>
    </w:p>
    <w:p>
      <w:pPr>
        <w:spacing w:before="40" w:after="40"/>
        <w:ind w:left="283"/>
      </w:pPr>
      <w:r>
        <w:rPr>
          <w:rFonts w:ascii="Calibri" w:hAnsi="Calibri"/>
          <w:b/>
          <w:color w:val="4A6B25"/>
          <w:sz w:val="20"/>
        </w:rPr>
        <w:t xml:space="preserve">3. </w:t>
      </w:r>
      <w:r>
        <w:rPr>
          <w:rFonts w:ascii="Calibri" w:hAnsi="Calibri"/>
          <w:b w:val="0"/>
          <w:color w:val="3A4A28"/>
          <w:sz w:val="20"/>
        </w:rPr>
        <w:t>Rodeo Renewed renewable fuels facility at full capacity could improve the earnings mix and environmental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Refining margins are cyclical and unpredictable — Q1 2026 EPS of $0.51 vs prior-year levels demonstrates the earnings volatility risk</w:t>
      </w:r>
    </w:p>
    <w:p>
      <w:pPr>
        <w:spacing w:before="40" w:after="40"/>
        <w:ind w:left="283"/>
      </w:pPr>
      <w:r>
        <w:rPr>
          <w:rFonts w:ascii="Calibri" w:hAnsi="Calibri"/>
          <w:b/>
          <w:color w:val="4A6B25"/>
          <w:sz w:val="20"/>
        </w:rPr>
        <w:t xml:space="preserve">2. </w:t>
      </w:r>
      <w:r>
        <w:rPr>
          <w:rFonts w:ascii="Calibri" w:hAnsi="Calibri"/>
          <w:b w:val="0"/>
          <w:color w:val="3A4A28"/>
          <w:sz w:val="20"/>
        </w:rPr>
        <w:t>Payout ratio of 48.12% is above the 40% target, and dividend sustainability depends on refining margin recovery</w:t>
      </w:r>
    </w:p>
    <w:p>
      <w:pPr>
        <w:spacing w:before="40" w:after="40"/>
        <w:ind w:left="283"/>
      </w:pPr>
      <w:r>
        <w:rPr>
          <w:rFonts w:ascii="Calibri" w:hAnsi="Calibri"/>
          <w:b/>
          <w:color w:val="4A6B25"/>
          <w:sz w:val="20"/>
        </w:rPr>
        <w:t xml:space="preserve">3. </w:t>
      </w:r>
      <w:r>
        <w:rPr>
          <w:rFonts w:ascii="Calibri" w:hAnsi="Calibri"/>
          <w:b w:val="0"/>
          <w:color w:val="3A4A28"/>
          <w:sz w:val="20"/>
        </w:rPr>
        <w:t>Activist-influenced strategy focused on capital returns may under-invest in long-term capabilities and growth initiatives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Phillips 66's core business is structurally immune to AI disruption — crude oil refining, pipeline operations, and chemical manufacturing are physical-world industrial processes that require massive capital infrastructure, specialized equipment, and regulatory compliance [1]. These operations cannot be replicated or substituted by software. AI data center growth may increase electricity demand that benefits gas-to-power applications. AI Opportunity (0/1): No meaningful AI-specific revenue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Phillips 66 Q1 2026 Earnings Release — investor.phillips66.com, April 2026</w:t>
      </w:r>
    </w:p>
    <w:p>
      <w:pPr>
        <w:spacing w:before="20" w:after="20"/>
        <w:ind w:left="170"/>
      </w:pPr>
      <w:r>
        <w:rPr>
          <w:rFonts w:ascii="Calibri" w:hAnsi="Calibri"/>
          <w:b/>
          <w:color w:val="4A6B25"/>
          <w:sz w:val="15"/>
        </w:rPr>
        <w:t xml:space="preserve">2. </w:t>
      </w:r>
      <w:r>
        <w:rPr>
          <w:rFonts w:ascii="Calibri" w:hAnsi="Calibri"/>
          <w:b w:val="0"/>
          <w:color w:val="3A4A28"/>
          <w:sz w:val="17"/>
        </w:rPr>
        <w:t>Phillips 66 Q1 2026 SEC 10-Q Filing — SEC,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PSX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