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PWRL</w:t>
      </w:r>
      <w:r>
        <w:rPr>
          <w:rFonts w:ascii="Calibri" w:hAnsi="Calibri"/>
          <w:b/>
          <w:color w:val="1A2010"/>
          <w:sz w:val="40"/>
        </w:rPr>
        <w:t xml:space="preserve">  Powerlaw Corp.</w:t>
      </w:r>
    </w:p>
    <w:p>
      <w:pPr>
        <w:spacing w:after="120"/>
      </w:pPr>
      <w:r>
        <w:rPr>
          <w:rFonts w:ascii="Calibri" w:hAnsi="Calibri"/>
          <w:b/>
          <w:color w:val="6E8450"/>
          <w:sz w:val="18"/>
        </w:rPr>
        <w:t>GROWTH SLEEVE · 2026-08-26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Powerlaw Corp. is a Nasdaq-listed, externally managed closed-end fund registered under the Investment Company Act of 1940, offering retail investors access to a concentrated portfolio of roughly 15-18 late-stage private technology companies — including SpaceX, OpenAI, Stripe, Groq, Deel, Kalshi, Perplexity, Figma, Waymo, Shield AI, and Prometheus — via a single publicly traded security. The fund began trading on Nasdaq on May 27, 2026 following a direct listing, and is advised by Powerlaw Fund Adviser, LLC, backed by Akkadian Ventures. It targets long-term capital appreciation from exposure to artificial intelligence, next-generation software, aerospace/defense, and consumer technology companies not otherwise accessible to public-market investors.</w:t>
      </w:r>
    </w:p>
    <w:p>
      <w:r>
        <w:rPr>
          <w:rFonts w:ascii="Calibri" w:hAnsi="Calibri"/>
          <w:b/>
          <w:color w:val="6E8450"/>
          <w:sz w:val="18"/>
        </w:rPr>
        <w:t>https://www.powerlawfunds.com/pwrl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Powerlaw's May 2026 direct listing itself represents a novel access product — a single Nasdaq security providing retail exposure to elite late-stage private tech companies (SpaceX, OpenAI, Stripe) previously reserved for institutional and accredited investors [1]. This is a modest, single-purpose launch rather than a transformative multi-year pivot, and similar venture-access closed-end vehicles already exist in the market. AI Deployment (0/2): The fund itself is an investment vehicle with no AI-powered products or internally quantified AI-driven savings; its AI exposure is entirely through portfolio holdings, not its own operations. Market Share (0/2): At roughly $600M in net assets, Powerlaw is a small, new entrant among venture-access closed-end funds with no evidence of category leadership. Product Pipeline (0/2): The fund periodically announces new portfolio additions (Shield AI, Prometheus, Groq) via press release, but these are investment transactions, not a product pipeline with company-building milestones [1]. R&amp;D Intensity (0/1): Not applicable — the fund has no R&amp;D function; investment management is entirely outsourced to the external adviser.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Powerlaw's stated purpose is to democratize access to elite private technology investing for public-market investors ('Private Tech, Nasdaq Listed') — a clear value proposition that identifies what the fund does and for whom, but is a financial-access pitch common among peer venture-access vehicles rather than a distinctive cause [1]. Community Impact (0/2): No evidence of charitable giving or community investment was found; as an externally managed investment vehicle, the fund has no operating community footprint. Employee Retention (0/2): Not meaningfully applicable — Powerlaw has no traditional employee base; portfolio management is handled by a small executive team (CEO Mike Dinsdale, CIO David Black, President Peter Smith) under an external advisory agreement [2]. Insider Buying (1/2): CIO David Black made an open-market purchase of 6,500 shares (~$100,600) in June 2026, a modest but genuine signal of insider conviction, though it is a single, limited-dollar transaction rather than meaningful buying across multiple executives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Standard operating-company metrics (revenue growth, ROE, D/E, forward P/E, profit margin) are inapplicable to a closed-end fund vehicle and are excluded rather than scored. In their place, the available evidence is weak: NAV per share fell from $16.21 (June 30, 2026) to $14.69 (July 31, 2026), a -9.4% one-month decline just two months after the fund's direct listing [3]. The market price of $11.11 sits roughly 24-28% below the most recently reported NAV, and the discount has been extremely volatile — swinging from a ~25% premium in June 2026 to a ~28% discount by early August 2026 — signaling acute market skepticism about the fund's valuation marks [3]. The 2.50% management fee and 3.63% total annual expense ratio represent a structural drag comparable to a persistently negative profit margin: NAV must appreciate more than 3.63% annually before shareholders see any net return [2]. No dividend is paid. Liquidity clears the floor: 234,683 avg daily volume × $11.11 ≈ $2.6M, above the $1M threshold, though this is a thinner liquidity cushion than most names in the screen universe.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As an externally managed closed-end fund, Powerlaw is structurally a finite player in Sinek's framework — it exists to harvest a 2.50% management fee while providing capital-appreciation exposure to private tech, not to advance a cause. The IOWN Infinite Game lens is built for operating companies with organizational purpose and culture; a three-month-old investment wrapper has no crisis-tested history and no evidence of a cause beyond the financial-access pitch.</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Powerlaw's purpose — giving retail investors access to elite pre-IPO technology companies — is a financial-access product pitch, not a Sinek Just Cause; it describes no vision of a better future and invites no sacrifice in service of something larger than fee-generating capital allocation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negative evidence was found regarding the small executive team (CEO Mike Dinsdale, CIO David Black, President Peter Smith), and the board includes a majority of independent directors across audit, nominating, and compensation committees, but there is also no positive evidence of a distinctive high-trust culture given the fund's three-month operating history and lack of a traditional employee base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Powerlaw framing competing venture-access vehicles as sources of self-improvement; fund communications focus on portfolio holding announcements and NAV/discount disclosures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fund has been publicly listed only since May 27, 2026 and has not faced any strategic test requiring a pivot; it is too young to demonstrate existential flexibility either way.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the adviser sacrificing near-term fee revenue for investor benefit — the 2.50% management fee and 3.63% total expense ratio persist even as NAV declined 9.4% in a single month, and no fee waivers or NAV-support actions were identified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Powerlaw Corp. offers rare public-market access to a curated basket of the most sought-after late-stage private technology companies — SpaceX (its largest holding at ~19.4% of net assets), OpenAI, Stripe, Groq, Perplexity, Shield AI, and others — through a single Nasdaq-listed security, a structure otherwise unavailable to non-accredited retail investors [1]. The August 2026 market price reflects a steep ~24-28% discount to the fund's most recently disclosed NAV, which could offer a margin of safety if the fund's private holdings continue to appreciate and the discount narrows [3]. Modest insider buying by CIO David Black in June 2026 provides a small signal of management conviction in the portfolio's value [2].</w:t>
      </w:r>
    </w:p>
    <w:p>
      <w:pPr>
        <w:spacing w:after="120"/>
      </w:pPr>
      <w:r>
        <w:rPr>
          <w:rFonts w:ascii="Calibri" w:hAnsi="Calibri"/>
          <w:b w:val="0"/>
          <w:color w:val="3A4A28"/>
          <w:sz w:val="20"/>
        </w:rPr>
        <w:t>The bear case is substantial. NAV per share fell 9.4% in a single month (June 30 to July 31, 2026), just weeks after the fund's direct listing, and the market discount to NAV has been extremely volatile — swinging from a ~25% premium to a ~28% discount within two months — suggesting the market has little confidence in the fund's private-company valuation marks or has priced in further write-downs (the OpenAI IPO delay to 2027 was cited as one specific catalyst for renewed skepticism) [3]. The 2.50% management fee and 3.63% total expense ratio are a persistent structural drag that must be overcome before any investor return materializes, and as an externally managed fund with no operating business, Powerlaw scores at the bottom of the IOWN framework on Innovation, Inspiration, and Infinite Game — there is no product, culture, or multi-decade cause to evaluate, only a fee-generating wrapper around illiquid private marks. With only a three-month public trading history, there is no track record to validate whether the fund can sustain its NAV, let alone compound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Narrowing of the current ~24-28% discount to NAV toward par (or the ~25% premium seen in June 2026) would provide meaningful price appreciation independent of underlying portfolio performance [3]</w:t>
      </w:r>
    </w:p>
    <w:p>
      <w:pPr>
        <w:spacing w:before="40" w:after="40"/>
        <w:ind w:left="283"/>
      </w:pPr>
      <w:r>
        <w:rPr>
          <w:rFonts w:ascii="Calibri" w:hAnsi="Calibri"/>
          <w:b/>
          <w:color w:val="4A6B25"/>
          <w:sz w:val="20"/>
        </w:rPr>
        <w:t xml:space="preserve">2. </w:t>
      </w:r>
      <w:r>
        <w:rPr>
          <w:rFonts w:ascii="Calibri" w:hAnsi="Calibri"/>
          <w:b w:val="0"/>
          <w:color w:val="3A4A28"/>
          <w:sz w:val="20"/>
        </w:rPr>
        <w:t>Successful IPOs or up-rounds among top holdings (SpaceX, OpenAI, Stripe, Groq) would mechanically lift NAV and could restore investor confidence in the fund's marks [1]</w:t>
      </w:r>
    </w:p>
    <w:p>
      <w:pPr>
        <w:spacing w:before="40" w:after="40"/>
        <w:ind w:left="283"/>
      </w:pPr>
      <w:r>
        <w:rPr>
          <w:rFonts w:ascii="Calibri" w:hAnsi="Calibri"/>
          <w:b/>
          <w:color w:val="4A6B25"/>
          <w:sz w:val="20"/>
        </w:rPr>
        <w:t xml:space="preserve">3. </w:t>
      </w:r>
      <w:r>
        <w:rPr>
          <w:rFonts w:ascii="Calibri" w:hAnsi="Calibri"/>
          <w:b w:val="0"/>
          <w:color w:val="3A4A28"/>
          <w:sz w:val="20"/>
        </w:rPr>
        <w:t>Continued portfolio diversification into next-generation categories (physical AI, autonomous defense via Shield AI and Prometheus) could differentiate Powerlaw from single-theme private-market access vehicles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NAV declined 9.4% in a single month (June 30 to July 31, 2026) just after listing, and the OpenAI IPO delay to 2027 already triggered renewed price weakness — private-market marks in this portfolio can move sharply against public shareholders [3]</w:t>
      </w:r>
    </w:p>
    <w:p>
      <w:pPr>
        <w:spacing w:before="40" w:after="40"/>
        <w:ind w:left="283"/>
      </w:pPr>
      <w:r>
        <w:rPr>
          <w:rFonts w:ascii="Calibri" w:hAnsi="Calibri"/>
          <w:b/>
          <w:color w:val="4A6B25"/>
          <w:sz w:val="20"/>
        </w:rPr>
        <w:t xml:space="preserve">2. </w:t>
      </w:r>
      <w:r>
        <w:rPr>
          <w:rFonts w:ascii="Calibri" w:hAnsi="Calibri"/>
          <w:b w:val="0"/>
          <w:color w:val="3A4A28"/>
          <w:sz w:val="20"/>
        </w:rPr>
        <w:t>The 2.50% management fee and 3.63% total expense ratio create a persistent performance drag that the fund must overcome every year before generating net investor returns [2]</w:t>
      </w:r>
    </w:p>
    <w:p>
      <w:pPr>
        <w:spacing w:before="40" w:after="40"/>
        <w:ind w:left="283"/>
      </w:pPr>
      <w:r>
        <w:rPr>
          <w:rFonts w:ascii="Calibri" w:hAnsi="Calibri"/>
          <w:b/>
          <w:color w:val="4A6B25"/>
          <w:sz w:val="20"/>
        </w:rPr>
        <w:t xml:space="preserve">3. </w:t>
      </w:r>
      <w:r>
        <w:rPr>
          <w:rFonts w:ascii="Calibri" w:hAnsi="Calibri"/>
          <w:b w:val="0"/>
          <w:color w:val="3A4A28"/>
          <w:sz w:val="20"/>
        </w:rPr>
        <w:t>Extreme premium/discount volatility (from +25% to -28% within two months) signals a thin, unstable market for the shares and limited price discovery, compounding risk for investors who need to exit before a discount narrows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As an investment holding vehicle, Powerlaw's business model — allocating capital to late-stage private companies — cannot itself be substituted or automated away by AI tools; there is no product or service AI could replace. The fund's differentiation (curated access to SpaceX, OpenAI, and other marquee private names) instead depends on deal access and adviser relationships rather than a function exposed to AI disruption [1]. Some risk exists from potential future competing access vehicles or direct tokenized/fractional-ownership platforms, but this is competitive risk, not AI substitution risk. AI Opportunity (1/1): The fund's economics are directly and quantifiably tied to AI company valuations — SpaceX alone represented approximately 19.4% of net assets as of May 2026, alongside stakes in OpenAI, Groq, Perplexity, Shield AI, and Prometheus, making AI exposure the core investment thesis rather than a tangential opportunity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Powerlaw Corp. (Nasdaq: PWRL) portfolio holding announcements — SpaceX largest holding (~19.4% of net assets), OpenAI, Stripe, Groq, Shield AI, Prometheus, Perplexity — BusinessWire, May-July 2026</w:t>
      </w:r>
    </w:p>
    <w:p>
      <w:pPr>
        <w:spacing w:before="20" w:after="20"/>
        <w:ind w:left="170"/>
      </w:pPr>
      <w:r>
        <w:rPr>
          <w:rFonts w:ascii="Calibri" w:hAnsi="Calibri"/>
          <w:b/>
          <w:color w:val="4A6B25"/>
          <w:sz w:val="15"/>
        </w:rPr>
        <w:t xml:space="preserve">2. </w:t>
      </w:r>
      <w:r>
        <w:rPr>
          <w:rFonts w:ascii="Calibri" w:hAnsi="Calibri"/>
          <w:b w:val="0"/>
          <w:color w:val="3A4A28"/>
          <w:sz w:val="17"/>
        </w:rPr>
        <w:t>Powerlaw Corp. management, governance, and fee structure — 2.50% management fee, 3.63% total annual expenses, CEO Mike Dinsdale, CIO David Black insider purchase (6,500 shares, June 2026) — SEC filings via StockTitan,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Powerlaw Corp. NAV and market price history — NAV $16.21 (June 30, 2026) to $14.69 (July 31, 2026), discount/premium swings from +25% to -28% — Seeking Alpha, SEC Form 424B3,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