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QFIN</w:t>
      </w:r>
      <w:r>
        <w:rPr>
          <w:rFonts w:ascii="Calibri" w:hAnsi="Calibri"/>
          <w:b/>
          <w:color w:val="1A2010"/>
          <w:sz w:val="40"/>
        </w:rPr>
        <w:t xml:space="preserve">  Qfin Holdings, Inc.</w:t>
      </w:r>
    </w:p>
    <w:p>
      <w:pPr>
        <w:spacing w:after="120"/>
      </w:pPr>
      <w:r>
        <w:rPr>
          <w:rFonts w:ascii="Calibri" w:hAnsi="Calibri"/>
          <w:b/>
          <w:color w:val="6E8450"/>
          <w:sz w:val="18"/>
        </w:rPr>
        <w:t>DIVIDEND SLEEVE · 2026-07-25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China</w:t>
      </w:r>
    </w:p>
    <w:p>
      <w:pPr>
        <w:spacing w:after="80"/>
      </w:pPr>
      <w:r>
        <w:rPr>
          <w:rFonts w:ascii="Calibri" w:hAnsi="Calibri"/>
          <w:b w:val="0"/>
          <w:color w:val="3A4A28"/>
          <w:sz w:val="20"/>
        </w:rPr>
        <w:t>Qfin Holdings (formerly Qifu Technology / 360 Finance) operates an AI-driven credit-tech platform under the Qifu Jietiao brand in China, matching borrowers with financial institution partners for consumer and SME lending. The company provides credit assessment, fund matching, loan facilitation, and post-facilitation services. Qfin is dual-listed on NASDAQ and HKEX (3660) and uses its proprietary TRIDENT multimodal LLM for credit scoring, fraud detection, and customer service. As of Q1 2026, the platform has 64.8 million users with approved credit lines and partners with 167 financial institutions.</w:t>
      </w:r>
    </w:p>
    <w:p>
      <w:r>
        <w:rPr>
          <w:rFonts w:ascii="Calibri" w:hAnsi="Calibri"/>
          <w:b/>
          <w:color w:val="6E8450"/>
          <w:sz w:val="18"/>
        </w:rPr>
        <w:t>3,557 Employees · https://www.qfin.com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Qfin has successfully evolved through multiple strategic pivots — P2P lending to institutional loan facilitation to AI-driven credit-tech platform — demonstrating meaningful business model transformation [3]. In Q1 2026, platform service revenue surged 44.2% sequentially, validating the capital-light SaaS pivot for financial institutions, with capital-light facilitation reaching 48.3% of total volume [1]. However, total loan facilitation volume declined 26.8% YoY to RMB65B and revenue fell 16.7% to RMB3.9B, reflecting regulatory headwinds and macro pressure in China's consumer credit market [1]. AI Deployment (2/2): TRIDENT, Qfin's proprietary Multimodal Large Language Model, powers core credit operations including fraud detection, credit assessment, customer service automation, and risk management [3]. The company was the first fintech to enter the LLM space and contributed to drafting China's first financial LLM industry standard — AI is the product, not a feature [3]. Market Share (1/2): Qfin is a leading credit-tech platform in China with 64.8M users with approved credit lines and 167 financial institution partners, but operates behind Ant Group, Tencent, and JD Finance in scale; competitive pressure from larger tech-finance ecosystems limits market share gains [1][4]. Pipeline (1/2): The capital-light SaaS platform for financial institutions is gaining traction with 48.3% of total volume and platform service revenue growing 44.2% sequentially in Q1 2026 [1]. However, specific next-generation product timelines and revenue targets remain vague. R&amp;D Intensity (1/1): As an AI-first credit-tech company, technology investment is the core business; CEO Haisheng Wu was the sole Chinese fintech representative at UN 80th anniversary digital governance events, and the company helped draft China's first financial LLM standard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Qfin's stated mission centers on 'AI-driven financial inclusion' — connecting underserved borrowers with institutional capital through technology [3]. CEO Wu's participation in UN 80th anniversary events discussing AI-driven financial inclusion adds credibility, but the mission is complicated by historical regulatory concerns about gray-zone interest rate practices that triggered customer complaints and regulatory summoning [4]. Community Impact (1/2): The platform serves 64.8 million consumers and small/micro-enterprises who may lack access to traditional banking, partnering with 167 financial institutions to expand credit access [1]. However, customer complaint volumes have previously been significant enough to trigger regulatory scrutiny, undermining the financial inclusion narrative [4]. Employee Retention (0/2): No public data on employee tenure, turnover, or culture metrics. The company has 3,557 employees [5]. Insider Buying (1/2): The company maintains active share buyback programs, returning RMB6.16B ($880M) to shareholders in 2025 through repurchases and dividends combined, demonstrating management conviction in the stock's long-term value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Qfin's financial profile remains strong on most metrics despite accelerating earnings deterioration. D/E of 12.0% reflects a nearly debt-free balance sheet with RMB10.7B in cash and investments against modest financial debt [2]. ROE of 21.3% exceeds the 15% target, and TTM profit margin of 27.5% reflects the capital-light facilitation model's economics, though Q1 2026 net margin compressed to 22.5% from 31.1% for full year 2025 [1][5]. Forward P/E of 2.98x remains extraordinarily cheap — either a deep value opportunity or a China risk discount reflecting the 67% decline from 52-week highs of $39.96 [5]. Dividend yields 11.8% with a sustainable 27.1% payout ratio, though consecutive years of growth has slipped to 2 and total payment history remains just 5 years [5]. Q1 2026 revenue declined 16.7% YoY as loan facilitation volume contracted 26.8% to RMB65B under regulatory and macro pressure, with 90+ day delinquency rising to 3.50% [1]. Liquidity floor cleared: 1.28M avg vol x $13.19 = $16.8M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Qfin operates with predominantly finite game tendencies — three name changes in six years (360 Finance to Qifu Technology to Qfin Holdings), historical gray-zone interest rate practices triggering regulatory crackdowns, and steep Q1 2026 earnings declines (-51% net income YoY) test whether leadership will invest through the downturn or optimize for near-term survival. The capital-light platform pivot and continued AI investment show some infinite game elements, but the company's competitive language and short institutional history suggest a company still proving whether it plays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Qfin's financial inclusion mission — connecting underserved borrowers with institutional capital through AI — has genuine elements but is undermined by historical practices that charged effective interest rates near 36% (above China's 24% cap) and generated customer complaints triggering regulatory summoning [4]. Three name changes in six years further suggest brand management over enduring purpose. Sinek would question whether the 'cause' of financial inclusion is authentic when the company has repeatedly repositioned its identity rather than deepening commitment to a single vision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Qfin's leadership team has been recognized as 'Most Honored' in Extel Asia rankings for consecutive years, winning 'Best CEO,' 'Best CFO,' and 'Best IR Professional' categories [3]. CEO Haisheng Wu has led since 2019, and CFO Alex Xu brings Wall Street experience from Cowen &amp; Co., providing leadership continuity through significant regulatory and strategic transitions. However, limited transparency into organizational culture and the opacity typical of Chinese tech companies prevent scoring higher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acknowledging worthy rivals or using competitive dynamics for self-improvement. The company's positioning focuses on its own AI technology superiority — the TRIDENT platform and 'AI + Finance' strategy — rather than learning from competitors like Ant Group, LexinFintech, or Yiren Digital [3]. Competitive language emphasizes market leadership rather than self-improvement through rivalry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Qfin has demonstrated genuine strategic flexibility — evolving from a P2P lending platform (360 Finance) to an institutional loan facilitation model (Qifu Technology) to an AI-driven credit-tech and SaaS platform (Qfin Holdings) [3]. The capital-light facilitation model reaching 48.3% of volume and platform service revenue growing 44.2% sequentially in Q1 2026 represent meaningful business model adaptation [1]. However, these pivots were driven by regulatory pressure (P2P crackdown) and market necessity rather than cause-driven transformation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Wu's participation in UN 80th anniversary events as the sole Chinese fintech representative shows willingness to advocate for the industry at the highest levels [3]. The company's continued investment in AI (TRIDENT MLLM) and commitment to shareholder returns (RMB6.16B in 2025) during a period of significant earnings decline demonstrate resilience [2]. However, historically operating in a regulatory gray zone on interest rates — profiting from ambiguity rather than building to comply proactively — suggests choosing expedience over principle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Qfin Holdings trades at a historically extreme valuation discount — 2.35x trailing P/E, 2.98x forward P/E, and 11.8% dividend yield — reflecting severe China, regulatory, and geopolitical risk priced into the stock after a 67% decline from 52-week highs [5]. Full year 2025 delivered solid results: RMB19.2B revenue (+12% YoY), RMB6.0B net income, and RMB6.16B returned to shareholders through buybacks and dividends [2]. The AI-native business model (TRIDENT MLLM powering credit scoring, fraud detection, and customer service) positions Qfin at the intersection of AI and fintech, with the capital-light platform pivot gaining traction — platform service revenue surged 44.2% sequentially and facilitation reached 48.3% of volume in Q1 2026 [1][3]. Balance sheet strength (12% D/E, RMB10.7B cash, 27.1% payout ratio) provides substantial cushion through the earnings downturn, and analyst consensus of 'Buy' with $21.88 average target implies 66% upside [5].</w:t>
      </w:r>
    </w:p>
    <w:p>
      <w:pPr>
        <w:spacing w:after="120"/>
      </w:pPr>
      <w:r>
        <w:rPr>
          <w:rFonts w:ascii="Calibri" w:hAnsi="Calibri"/>
          <w:b w:val="0"/>
          <w:color w:val="3A4A28"/>
          <w:sz w:val="20"/>
        </w:rPr>
        <w:t>The bear case has intensified since Q4 2025. Q1 2026 revenue fell 16.7% YoY to RMB3.9B, net income plunged 51% to RMB880M, and loan facilitation volume contracted 26.8% to RMB65B [1]. Q2 2026 guidance projects another 47-51% YoY income decline, confirming the business is contracting under regulatory pressure [1]. Delinquency rates have risen to 3.50% (90+ day) with elevated provisions of RMB1.2B in Q1 alone, suggesting portfolio credit quality is deteriorating [1]. Grizzly Research's fraud allegations — 'fake financials, fraudulent backers, and an imploding business' — remain unresolved [4]. Parent company Qihoo 360's US sanctions and Pentagon military designation create ongoing ADR delisting risk, and the stock's 67% decline from $39.96 to $13.19 reflects this existential concern [4][5]. TTM profit margins have compressed from 31.1% to 27.5%, with Q1 2026 net margin at just 22.5% [1]. The 2.35x P/E may be cheap, or it may accurately reflect the probability-weighted risk of further regulatory destruction, fraud exposure, or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 service revenue acceleration (+44.2% sequential growth in Q1 2026) and capital-light model reaching 48.3% of volume validate the SaaS pivot for financial institutions, which could stabilize margins as legacy portfolio runoff completes [1]</w:t>
      </w:r>
    </w:p>
    <w:p>
      <w:pPr>
        <w:spacing w:before="40" w:after="40"/>
        <w:ind w:left="283"/>
      </w:pPr>
      <w:r>
        <w:rPr>
          <w:rFonts w:ascii="Calibri" w:hAnsi="Calibri"/>
          <w:b/>
          <w:color w:val="4A6B25"/>
          <w:sz w:val="20"/>
        </w:rPr>
        <w:t xml:space="preserve">2. </w:t>
      </w:r>
      <w:r>
        <w:rPr>
          <w:rFonts w:ascii="Calibri" w:hAnsi="Calibri"/>
          <w:b w:val="0"/>
          <w:color w:val="3A4A28"/>
          <w:sz w:val="20"/>
        </w:rPr>
        <w:t>Extreme valuation (2.35x PE, 11.8% yield) with analyst consensus 'Buy' and $21.88 average price target (+66% upside) may attract value investors if Q2 2026 results show earnings stabilization from the guided 47-51% decline range [5]</w:t>
      </w:r>
    </w:p>
    <w:p>
      <w:pPr>
        <w:spacing w:before="40" w:after="40"/>
        <w:ind w:left="283"/>
      </w:pPr>
      <w:r>
        <w:rPr>
          <w:rFonts w:ascii="Calibri" w:hAnsi="Calibri"/>
          <w:b/>
          <w:color w:val="4A6B25"/>
          <w:sz w:val="20"/>
        </w:rPr>
        <w:t xml:space="preserve">3. </w:t>
      </w:r>
      <w:r>
        <w:rPr>
          <w:rFonts w:ascii="Calibri" w:hAnsi="Calibri"/>
          <w:b w:val="0"/>
          <w:color w:val="3A4A28"/>
          <w:sz w:val="20"/>
        </w:rPr>
        <w:t>Balance sheet strength (12% D/E, RMB10.7B cash, 27.1% payout ratio) provides optionality for continued shareholder returns, strategic investments, or weathering prolonged regulatory pressure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earnings deterioration — Q1 2026 net income fell 51% YoY with loan volume down 26.8% to RMB65B, Q2 2026 guidance projects continued 47-51% decline, and 90+ day delinquency rising to 3.50% with RMB1.2B quarterly provisions [1]</w:t>
      </w:r>
    </w:p>
    <w:p>
      <w:pPr>
        <w:spacing w:before="40" w:after="40"/>
        <w:ind w:left="283"/>
      </w:pPr>
      <w:r>
        <w:rPr>
          <w:rFonts w:ascii="Calibri" w:hAnsi="Calibri"/>
          <w:b/>
          <w:color w:val="4A6B25"/>
          <w:sz w:val="20"/>
        </w:rPr>
        <w:t xml:space="preserve">2. </w:t>
      </w:r>
      <w:r>
        <w:rPr>
          <w:rFonts w:ascii="Calibri" w:hAnsi="Calibri"/>
          <w:b w:val="0"/>
          <w:color w:val="3A4A28"/>
          <w:sz w:val="20"/>
        </w:rPr>
        <w:t>ADR delisting and fraud risk — parent Qihoo 360's US sanctions and Pentagon military designation, plus unresolved Grizzly Research allegations of fake financials and fraudulent backers, create existential risk for the NASDAQ listing [4]</w:t>
      </w:r>
    </w:p>
    <w:p>
      <w:pPr>
        <w:spacing w:before="40" w:after="40"/>
        <w:ind w:left="283"/>
      </w:pPr>
      <w:r>
        <w:rPr>
          <w:rFonts w:ascii="Calibri" w:hAnsi="Calibri"/>
          <w:b/>
          <w:color w:val="4A6B25"/>
          <w:sz w:val="20"/>
        </w:rPr>
        <w:t xml:space="preserve">3. </w:t>
      </w:r>
      <w:r>
        <w:rPr>
          <w:rFonts w:ascii="Calibri" w:hAnsi="Calibri"/>
          <w:b w:val="0"/>
          <w:color w:val="3A4A28"/>
          <w:sz w:val="20"/>
        </w:rPr>
        <w:t>China regulatory crackdown intensification — criminal prosecutions for interest rate cap violations, customer complaint volumes triggering regulatory summoning, and tightening fintech oversight could fundamentally constrain the lending-facilitation business model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Qfin is an AI-native company — its TRIDENT multimodal LLM and 'AI + Finance' strategy mean AI is the core competitive advantage, not a threat [3]. AI enhances every aspect of the business: credit scoring, fraud detection, customer service, and risk management. The company was the first fintech to enter the LLM space and contributed to China's first financial LLM industry standard [3]. The primary risk is not AI disruption but AI competition — larger Chinese tech companies (Ant Group, Tencent, JD Finance) deploying superior AI models could compress Qfin's margins and market share [4]. Regulatory requirements for lending licenses and 167 financial institution partnerships provide some moat against pure-AI startups, but the competitive landscape is intensifying. AI Opportunity (1/1): Qfin generates essentially all its revenue through AI-powered credit facilitation — the TRIDENT MLLM directly drives lending decisions, customer acquisition, and risk management across RMB65B in Q1 2026 loan facilitation volume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Qfin Holdings Q1 2026 Unaudited Financial Results — RMB3.9B revenue (down 16.7% YoY), RMB880M net income (down 51%), RMB65B loan volume, 48.3% capital-light, June 2026</w:t>
      </w:r>
    </w:p>
    <w:p>
      <w:pPr>
        <w:spacing w:before="20" w:after="20"/>
        <w:ind w:left="170"/>
      </w:pPr>
      <w:r>
        <w:rPr>
          <w:rFonts w:ascii="Calibri" w:hAnsi="Calibri"/>
          <w:b/>
          <w:color w:val="4A6B25"/>
          <w:sz w:val="15"/>
        </w:rPr>
        <w:t xml:space="preserve">2. </w:t>
      </w:r>
      <w:r>
        <w:rPr>
          <w:rFonts w:ascii="Calibri" w:hAnsi="Calibri"/>
          <w:b w:val="0"/>
          <w:color w:val="3A4A28"/>
          <w:sz w:val="17"/>
        </w:rPr>
        <w:t>Qfin Holdings Q4 and Full Year 2025 Financial Results — RMB19.2B revenue (+12% YoY), RMB6.0B net income, RMB6.16B shareholder returns, March 2026</w:t>
      </w:r>
    </w:p>
    <w:p>
      <w:pPr>
        <w:spacing w:before="20" w:after="20"/>
        <w:ind w:left="170"/>
      </w:pPr>
      <w:r>
        <w:rPr>
          <w:rFonts w:ascii="Calibri" w:hAnsi="Calibri"/>
          <w:b/>
          <w:color w:val="4A6B25"/>
          <w:sz w:val="15"/>
        </w:rPr>
        <w:t xml:space="preserve">3. </w:t>
      </w:r>
      <w:r>
        <w:rPr>
          <w:rFonts w:ascii="Calibri" w:hAnsi="Calibri"/>
          <w:b w:val="0"/>
          <w:color w:val="3A4A28"/>
          <w:sz w:val="17"/>
        </w:rPr>
        <w:t>StockTitan / Qfin Investor Relations — TRIDENT AI platform, Extel 'Most Honored Company' recognition, CEO at UN 80th anniversary, financial LLM standard contributions, 2025-2026</w:t>
      </w:r>
    </w:p>
    <w:p>
      <w:pPr>
        <w:spacing w:before="20" w:after="20"/>
        <w:ind w:left="170"/>
      </w:pPr>
      <w:r>
        <w:rPr>
          <w:rFonts w:ascii="Calibri" w:hAnsi="Calibri"/>
          <w:b/>
          <w:color w:val="4A6B25"/>
          <w:sz w:val="15"/>
        </w:rPr>
        <w:t xml:space="preserve">4. </w:t>
      </w:r>
      <w:r>
        <w:rPr>
          <w:rFonts w:ascii="Calibri" w:hAnsi="Calibri"/>
          <w:b w:val="0"/>
          <w:color w:val="3A4A28"/>
          <w:sz w:val="17"/>
        </w:rPr>
        <w:t>Grizzly Research / Benzinga / Seeking Alpha — China fintech lending crackdown, short seller fraud allegations, Qihoo 360 US sanctions and Pentagon military designation,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QFIN key statistics: P/E 2.35, Forward P/E 2.98, D/E 12%, ROE 21.3%, profit margin 27.5%, dividend yield 11.83%, analyst target $21.88,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