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QGEN</w:t>
      </w:r>
      <w:r>
        <w:rPr>
          <w:rFonts w:ascii="Calibri" w:hAnsi="Calibri"/>
          <w:b/>
          <w:color w:val="1A2010"/>
          <w:sz w:val="40"/>
        </w:rPr>
        <w:t xml:space="preserve">  QIAGEN N.V.</w:t>
      </w:r>
    </w:p>
    <w:p>
      <w:pPr>
        <w:spacing w:after="120"/>
      </w:pPr>
      <w:r>
        <w:rPr>
          <w:rFonts w:ascii="Calibri" w:hAnsi="Calibri"/>
          <w:b/>
          <w:color w:val="6E8450"/>
          <w:sz w:val="18"/>
        </w:rPr>
        <w:t>GROWTH SLEEVE · 2026-07-14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NYSE · Netherlands</w:t>
      </w:r>
    </w:p>
    <w:p>
      <w:pPr>
        <w:spacing w:after="80"/>
      </w:pPr>
      <w:r>
        <w:rPr>
          <w:rFonts w:ascii="Calibri" w:hAnsi="Calibri"/>
          <w:b w:val="0"/>
          <w:color w:val="3A4A28"/>
          <w:sz w:val="20"/>
        </w:rPr>
        <w:t>QIAGEN N.V. is a leading global provider of Sample to Insight solutions that enable customers to gain valuable molecular insights from biological samples. The company offers technologies for sample preparation, assay development, and bioinformatics, serving molecular diagnostics, applied testing, and life sciences research markets. Key product pillars include QuantiFERON (tuberculosis testing), QIAstat-Dx (syndromic testing), NeuMoDx (molecular diagnostics automation), digital PCR, and sample preparation technologies. Founded in 1984 and headquartered in Hilden, Germany, with approximately 6,100 employees globally. CEO Thierry Bernard has announced plans to step down upon appointment of a successor, and the company is exploring strategic alternatives including potential takeover bids from KKR, EQT, and Advent.</w:t>
      </w:r>
    </w:p>
    <w:p>
      <w:r>
        <w:rPr>
          <w:rFonts w:ascii="Calibri" w:hAnsi="Calibri"/>
          <w:b/>
          <w:color w:val="6E8450"/>
          <w:sz w:val="18"/>
        </w:rPr>
        <w:t>6,100 Employees · https://www.qiagen.com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QIAGEN has systematically built five growth pillars — QuantiFERON (TB testing), QIAstat-Dx (syndromic testing), NeuMoDx (molecular diagnostics automation), digital PCR, and Sample Technologies — representing meaningful product expansion beyond the company's historical sample preparation roots [1][2]. Sample Technologies delivered 9% CER growth in Q1 2026, and the growth pillars collectively grew 4% CER compared to Q1 2025 [1]. However, NeuMoDx acquisition integration has been challenging, and QuantiFERON faced headwinds with declining revenue in Q1 2026 [1]. AI Deployment (1/2): QIAGEN uses AI and machine learning in its diagnostic algorithms for QIAstat-Dx syndromic testing panels and bioinformatics platforms, enabling automated analysis and interpretation of molecular data [2]. These AI capabilities are embedded in shipping products, but no specific AI-attributable revenue or cost savings have been quantified. Market Share (1/2): QIAGEN holds meaningful positions in sample preparation (where it is a market leader), TB diagnostics (QuantiFERON), and syndromic testing. However, it competes against larger players (Roche, Abbott, Danaher/Cepheid) in the broader molecular diagnostics market and does not define or dominate the overall category [2]. Product Pipeline (1/2): Digital PCR, QIAstat-Dx panel expansion, and bioinformatics represent active development areas with clear strategic direction, but specific next-generation products with launch dates and revenue visibility were not detailed [2]. R&amp;D Intensity (1/1): QIAGEN invests significantly in R&amp;D relative to revenue, consistently above the diagnostics industry average, supporting its technology leadership in sample preparation and molecular diagnostics.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QIAGEN's purpose is 'Making improvements in life possible' through its 'Sample to Insight' mission — enabling molecular insights that improve human health, food safety, environmental testing, and forensics [2]. This mission is specific, thoughtful, and connects the company's work to genuine human welfare outcomes. It has been validated by 40+ years of consistent execution in molecular technologies across diagnostics and research. The mission differentiates from generic healthcare companies and clearly shapes product strategy. However, the upcoming CEO transition raises questions about continuity. Community Impact (1/2): QIAGEN's sustainability report demonstrates genuine environmental commitment with validated Science Based Target initiative (SBTi) emissions reduction targets (42% reduction in Scope 1 and 2 by 2030, net zero by 2050), LEED Gold and BREEAM certifications at major facilities, and exceeded plastic reduction goals (25 tons vs 20-ton target) [3]. These represent meaningful ESG investment beyond minimum compliance. Employee Retention (0/2): No specific employee retention or turnover data was found. CEO Thierry Bernard's announced departure and the company's exploration of strategic alternatives (potential takeover) create organizational uncertainty that could impact employee morale and retention [4]. Insider Buying (0/2): No evidence of meaningful net insider buying was identified. The exploration of strategic alternatives and potential takeover bids from KKR, EQT, and Advent suggest corporate-level M&amp;A activity rather than insider conviction signals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QIAGEN's financial profile demonstrates strong fundamentals — the balance sheet is healthy with a debt-to-equity ratio of 44%, well within the 70% target [5]. Profit margin of 20.33% meets the target, and ROE of 11.57% approaches the 15% benchmark [5]. Forward P/E of 16.17 is below the 20x target, representing an attractive valuation — the stock trades at $41.99, significantly below its 52-week high of $57.82 and analysts' fair value estimate of $52.66 [5]. The PEG ratio of 2.00 reflects modest growth expectations. The main weakness is revenue growth — Q1 2026 net sales rose only 2% on a reported basis to $492 million, and CER growth was actually negative at -1%, below the guided 1%+ [1]. Full-year 2026 guidance projects only 1-2% CER sales growth and at least $2.43 adjusted EPS [1]. The 5-year revenue CAGR of approximately 3% reflects the post-COVID normalization, as the company transitioned from pandemic-driven testing demand ($2.25B peak in 2021) back toward a base business growth trajectory. The company proposed a 40% increase in its annual dividend to $0.35 per share, though the yield of 0.83% is modest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QIAGEN has operated with a consistent purpose for 40+ years — enabling molecular insights that improve human health and safety. The 'Sample to Insight' mission has survived multiple market cycles, leadership transitions, and the COVID-19 pandemic demand surge and withdrawal. The company's willingness to walk away from the Thermo Fisher acquisition in 2021 showed strategic independence, and its evolution from research tools to clinical diagnostics demonstrates flexibility. However, the upcoming CEO transition and exploration of strategic alternatives (potential takeover) introduce uncertainty about whether the company will continue as an independent infinite game player.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QIAGEN's purpose of 'Making improvements in life possible' through molecular insights is genuine and has been validated by 40+ years of consistent execution [2]. The company was founded in 1984 with the vision of making molecular biology accessible beyond specialized research labs, and that purpose has driven expansion into diagnostics, food safety, environmental testing, and forensics. The mission survived the CEO transition from Peer Schatz to Thierry Bernard in 2020, the rejection of the Thermo Fisher acquisition, and the post-COVID revenue normalization. Strategic decisions (investing in QuantiFERON, digital PCR, syndromic testing) trace back to the core Sample to Insight purpose. However, the current exploration of strategic alternatives (potential sale to KKR/EQT/Advent) raises questions about whether the cause will survive a private equity takeover, which typically prioritizes financial returns over mission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QIAGEN's culture is described as one of 'openness, agility and dedication,' and the company has maintained organizational stability through 40+ years of operation [2]. CEO Thierry Bernard has led since 2020 with a collaborative approach. However, the announced CEO departure and exploration of strategic alternatives create organizational uncertainty. No specific employee retention data, turnover rates, or cultural survey results were available to evaluate trust dynamics beyond management commentary.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QIAGEN competes in molecular diagnostics against Roche, Abbott, Danaher/Cepheid, and other large players. Management commentary focuses on QIAGEN's differentiated Sample to Insight approach and investments in its own technology pillars rather than attacking competitors [2]. The company acknowledges that it competes against larger organizations but frames its strategy around its unique positioning in sample preparation and molecular insights rather than market share warfare. The commitment to improving its own technology platforms in response to competitive dynamics reflects an infinite mindset toward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QIAGEN has meaningfully evolved its business model from a pure research tools company to a combined diagnostics and life sciences platform. The expansion from sample preparation into QuantiFERON diagnostics, QIAstat-Dx syndromic testing, and molecular automation (NeuMoDx) represents significant strategic broadening that opened new revenue streams [2]. The company also pivoted rapidly to COVID-19 testing during the pandemic, demonstrating operational agility. However, these are evolutionary expansions of the same core molecular biology platform,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QIAGEN's rejection of the Thermo Fisher acquisition in 2021 demonstrated strategic courage — the company chose independence over the certainty of being absorbed into a larger organization, betting that standalone value creation would exceed the offer price [4]. The company maintained R&amp;D investment through the post-COVID revenue decline, continuing to build growth pillars rather than cutting to maintain margins. However, the current exploration of strategic alternatives suggests leadership may now be open to a sale, which would reverse the independent path chosen in 2021.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QIAGEN is a 40-year molecular diagnostics leader trading at an attractive valuation — 16.17x forward P/E, significantly below the Life Sciences industry average of 36.1x and its own 5-year median P/E of 27.1x [5]. The company offers a diversified portfolio across sample preparation (9% CER growth in Q1), QuantiFERON TB testing, QIAstat-Dx syndromic testing, digital PCR, and bioinformatics. The balance sheet is healthy with 44% debt-to-equity, and profit margin of 20.33% demonstrates the operating model's quality [5]. Full-year 2026 guidance of at least $2.43 adjusted EPS with 1-2% CER revenue growth provides stability, while the 40% dividend increase to $0.35/share signals management confidence in cash generation [1]. A potential catalyst exists in the strategic review — Bloomberg reported that KKR, EQT, and Advent are exploring takeover bids potentially starting at $50/share, a 19% premium to the current price [4]. The validated SBTi emissions reduction targets and LEED Gold certifications reflect genuine ESG commitment [3].</w:t>
      </w:r>
    </w:p>
    <w:p>
      <w:pPr>
        <w:spacing w:after="120"/>
      </w:pPr>
      <w:r>
        <w:rPr>
          <w:rFonts w:ascii="Calibri" w:hAnsi="Calibri"/>
          <w:b w:val="0"/>
          <w:color w:val="3A4A28"/>
          <w:sz w:val="20"/>
        </w:rPr>
        <w:t>The primary concern is QIAGEN's anemic revenue growth. Full-year 2026 guidance projects only 1-2% CER sales growth, with Q1 2026 CER growth actually coming in negative at -1% [1]. QuantiFERON revenue declined in Q1 and is expected flat for the full year, and cautious U.S. Life Sciences customer demand is creating headwinds across the portfolio. The 5-year revenue CAGR of approximately 3% reflects post-COVID normalization and raises questions about whether QIAGEN can return to mid-single-digit organic growth without acquisitions. The CEO transition — Thierry Bernard plans to step down once a successor is named — creates leadership uncertainty at a critical juncture, particularly as the company simultaneously explores strategic alternatives including a potential private equity takeover [4]. A PE acquisition could enhance near-term shareholder returns but would likely prioritize cost cutting and financial engineering over the R&amp;D investment and mission-driven strategy that has defined QIAGEN for 40 years. The PEG ratio of 2.00 reflects the market's modest growth expectations, and without a takeover premium or return to meaningful organic growth, the stock may remain range-bound.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Strategic review and potential takeover bids from KKR, EQT, and Advent at $50+ per share, representing a 19%+ premium to current price and providing near-term upside regardless of organic growth trajectory</w:t>
      </w:r>
    </w:p>
    <w:p>
      <w:pPr>
        <w:spacing w:before="40" w:after="40"/>
        <w:ind w:left="283"/>
      </w:pPr>
      <w:r>
        <w:rPr>
          <w:rFonts w:ascii="Calibri" w:hAnsi="Calibri"/>
          <w:b/>
          <w:color w:val="4A6B25"/>
          <w:sz w:val="20"/>
        </w:rPr>
        <w:t xml:space="preserve">2. </w:t>
      </w:r>
      <w:r>
        <w:rPr>
          <w:rFonts w:ascii="Calibri" w:hAnsi="Calibri"/>
          <w:b w:val="0"/>
          <w:color w:val="3A4A28"/>
          <w:sz w:val="20"/>
        </w:rPr>
        <w:t>Reacceleration of QuantiFERON growth and sustained expansion of sample technologies (9% CER growth in Q1) as Life Sciences customer spending normalizes and TB testing demand stabilizes</w:t>
      </w:r>
    </w:p>
    <w:p>
      <w:pPr>
        <w:spacing w:before="40" w:after="40"/>
        <w:ind w:left="283"/>
      </w:pPr>
      <w:r>
        <w:rPr>
          <w:rFonts w:ascii="Calibri" w:hAnsi="Calibri"/>
          <w:b/>
          <w:color w:val="4A6B25"/>
          <w:sz w:val="20"/>
        </w:rPr>
        <w:t xml:space="preserve">3. </w:t>
      </w:r>
      <w:r>
        <w:rPr>
          <w:rFonts w:ascii="Calibri" w:hAnsi="Calibri"/>
          <w:b w:val="0"/>
          <w:color w:val="3A4A28"/>
          <w:sz w:val="20"/>
        </w:rPr>
        <w:t>New CEO appointment with a clear growth mandate could reinvigorate the company's strategic direction and re-rate the stock toward its 5-year median P/E of 27.1x from the current 16.2x</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Anemic revenue growth of 1-2% CER guided for 2026 with Q1 CER growth actually negative at -1% — QuantiFERON headwinds and cautious U.S. Life Sciences spending could persist through 2026, leaving the company stuck in low-growth mode</w:t>
      </w:r>
    </w:p>
    <w:p>
      <w:pPr>
        <w:spacing w:before="40" w:after="40"/>
        <w:ind w:left="283"/>
      </w:pPr>
      <w:r>
        <w:rPr>
          <w:rFonts w:ascii="Calibri" w:hAnsi="Calibri"/>
          <w:b/>
          <w:color w:val="4A6B25"/>
          <w:sz w:val="20"/>
        </w:rPr>
        <w:t xml:space="preserve">2. </w:t>
      </w:r>
      <w:r>
        <w:rPr>
          <w:rFonts w:ascii="Calibri" w:hAnsi="Calibri"/>
          <w:b w:val="0"/>
          <w:color w:val="3A4A28"/>
          <w:sz w:val="20"/>
        </w:rPr>
        <w:t>CEO transition and strategic review uncertainty — the combination of Bernard's planned departure, board-level strategic alternatives exploration, and potential PE takeover creates multi-layered leadership and strategic uncertainty that could paralyze investment decisions and talent retention</w:t>
      </w:r>
    </w:p>
    <w:p>
      <w:pPr>
        <w:spacing w:before="40" w:after="40"/>
        <w:ind w:left="283"/>
      </w:pPr>
      <w:r>
        <w:rPr>
          <w:rFonts w:ascii="Calibri" w:hAnsi="Calibri"/>
          <w:b/>
          <w:color w:val="4A6B25"/>
          <w:sz w:val="20"/>
        </w:rPr>
        <w:t xml:space="preserve">3. </w:t>
      </w:r>
      <w:r>
        <w:rPr>
          <w:rFonts w:ascii="Calibri" w:hAnsi="Calibri"/>
          <w:b w:val="0"/>
          <w:color w:val="3A4A28"/>
          <w:sz w:val="20"/>
        </w:rPr>
        <w:t>Private equity acquisition risk — while a takeover at $50+ would deliver near-term premium, PE ownership typically prioritizes cost-cutting, leverage, and financial engineering over the R&amp;D investment that sustains molecular diagnostics innovation, potentially eroding QIAGEN's long-term competitive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QIAGEN's core business involves physical sample processing (DNA/RNA extraction, purification, preparation), laboratory instruments, and regulated diagnostic testing — processes that AI cannot substitute [1][2]. The physical act of extracting molecular material from biological samples requires specialized chemistry, consumables, and hardware that exist entirely outside AI's domain. Laboratory workflows are deeply embedded around QIAGEN instruments and consumables, creating high switching costs (validated protocols, regulatory approvals, training). The molecular diagnostics market is heavily regulated (FDA, CE-IVD), providing structural barriers that AI tools cannot bypass. AI may enhance bioinformatics and data interpretation (which QIAGEN already incorporates), but the core sample-to-insight workflow remains fundamentally physical and regulated. The primary AI risk is indirect — AI-assisted drug discovery or alternative diagnostic approaches could theoretically reduce demand for certain molecular testing methods, though this is speculative and long-term. AI Opportunity (0/1): While QIAGEN incorporates AI/ML in its bioinformatics and diagnostic interpretation algorithms, no specific AI-attributable revenue has been quantified. AI features are embedded in existing products (QIAstat-Dx, bioinformatics platforms) rather than sold as standalone AI offerings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QIAGEN Q1 2026 Earnings Release and Full Results — SEC 6-K, May 2026</w:t>
      </w:r>
    </w:p>
    <w:p>
      <w:pPr>
        <w:spacing w:before="20" w:after="20"/>
        <w:ind w:left="170"/>
      </w:pPr>
      <w:r>
        <w:rPr>
          <w:rFonts w:ascii="Calibri" w:hAnsi="Calibri"/>
          <w:b/>
          <w:color w:val="4A6B25"/>
          <w:sz w:val="15"/>
        </w:rPr>
        <w:t xml:space="preserve">2. </w:t>
      </w:r>
      <w:r>
        <w:rPr>
          <w:rFonts w:ascii="Calibri" w:hAnsi="Calibri"/>
          <w:b w:val="0"/>
          <w:color w:val="3A4A28"/>
          <w:sz w:val="17"/>
        </w:rPr>
        <w:t>QIAGEN 2025 Annual Report, Sample to Insight Strategy, and Growth Pillars Overview — Company Website and SEC 20-F, 2026</w:t>
      </w:r>
    </w:p>
    <w:p>
      <w:pPr>
        <w:spacing w:before="20" w:after="20"/>
        <w:ind w:left="170"/>
      </w:pPr>
      <w:r>
        <w:rPr>
          <w:rFonts w:ascii="Calibri" w:hAnsi="Calibri"/>
          <w:b/>
          <w:color w:val="4A6B25"/>
          <w:sz w:val="15"/>
        </w:rPr>
        <w:t xml:space="preserve">3. </w:t>
      </w:r>
      <w:r>
        <w:rPr>
          <w:rFonts w:ascii="Calibri" w:hAnsi="Calibri"/>
          <w:b w:val="0"/>
          <w:color w:val="3A4A28"/>
          <w:sz w:val="17"/>
        </w:rPr>
        <w:t>QIAGEN 2026 Sustainability Report, SBTi Validation, and ESG Certifications — qiagen.com/sustainability, June 2026</w:t>
      </w:r>
    </w:p>
    <w:p>
      <w:pPr>
        <w:spacing w:before="20" w:after="20"/>
        <w:ind w:left="170"/>
      </w:pPr>
      <w:r>
        <w:rPr>
          <w:rFonts w:ascii="Calibri" w:hAnsi="Calibri"/>
          <w:b/>
          <w:color w:val="4A6B25"/>
          <w:sz w:val="15"/>
        </w:rPr>
        <w:t xml:space="preserve">4. </w:t>
      </w:r>
      <w:r>
        <w:rPr>
          <w:rFonts w:ascii="Calibri" w:hAnsi="Calibri"/>
          <w:b w:val="0"/>
          <w:color w:val="3A4A28"/>
          <w:sz w:val="17"/>
        </w:rPr>
        <w:t>QIAGEN CEO Transition, Strategic Review, and Potential Takeover Interest (KKR, EQT, Advent) — Bloomberg, Reuters, TipRanks,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StockAnalysis.com / GuruFocus — QGEN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