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RARE</w:t>
      </w:r>
      <w:r>
        <w:rPr>
          <w:rFonts w:ascii="Calibri" w:hAnsi="Calibri"/>
          <w:b/>
          <w:color w:val="1A2010"/>
          <w:sz w:val="40"/>
        </w:rPr>
        <w:t xml:space="preserve">  Ultragenyx Pharmaceutical Inc.</w:t>
      </w:r>
    </w:p>
    <w:p>
      <w:pPr>
        <w:spacing w:after="120"/>
      </w:pPr>
      <w:r>
        <w:rPr>
          <w:rFonts w:ascii="Calibri" w:hAnsi="Calibri"/>
          <w:b/>
          <w:color w:val="6E8450"/>
          <w:sz w:val="18"/>
        </w:rPr>
        <w:t>GROWTH SLEEVE · 2026-07-11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NasdaqGS · United States</w:t>
      </w:r>
    </w:p>
    <w:p>
      <w:pPr>
        <w:spacing w:after="80"/>
      </w:pPr>
      <w:r>
        <w:rPr>
          <w:rFonts w:ascii="Calibri" w:hAnsi="Calibri"/>
          <w:b w:val="0"/>
          <w:color w:val="3A4A28"/>
          <w:sz w:val="20"/>
        </w:rPr>
        <w:t>Ultragenyx Pharmaceutical Inc. is a biopharmaceutical company founded in 2010 by CEO Emil D. Kakkis, M.D., Ph.D., focused on the development and commercialization of novel products for serious rare and ultra-rare genetic diseases. The company markets four approved therapies — Crysvita (burosumab) for X-linked hypophosphatemia, Dojolvi (triheptanoin) for long-chain fatty acid oxidation disorders, Evkeeza (evinacumab) for homozygous familial hypercholesterolemia, and Mepsevii (vestronidase alfa) for MPS VII — and has a robust gene therapy pipeline targeting glycogen storage disease type Ia (DTX401), Sanfilippo syndrome type A (UX111), and Angelman syndrome (GTX-102). Headquartered in Novato, California.</w:t>
      </w:r>
    </w:p>
    <w:p>
      <w:r>
        <w:rPr>
          <w:rFonts w:ascii="Calibri" w:hAnsi="Calibri"/>
          <w:b/>
          <w:color w:val="6E8450"/>
          <w:sz w:val="18"/>
        </w:rPr>
        <w:t>1,371 Employees · https://www.ultragenyx.com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Ultragenyx has successfully developed and commercialized four therapies for ultra-rare diseases since its 2010 founding — Crysvita ($93M Q1 2026 revenue), Dojolvi ($18M Q1 2026), Evkeeza, and Mepsevii — establishing a validated platform for rare disease drug development [1]. Q1 2026 total revenue of $136M puts the company on track toward full-year guidance of $730-$760M (8-13% growth). Crysvita has become the standard of care for XLH globally. However, the setrusumab Phase 3 failure for osteogenesis imperfecta in December 2025 represents a meaningful clinical setback, and the company has not yet achieved profitability despite 16 years of operation. AI Deployment (0/2): No specific AI deployment in drug discovery, clinical trial design, or operational processes has been publicly disclosed. Market Share (1/2): Crysvita holds dominant market share in XLH treatment globally, and each of the four approved products targets conditions with few or no alternative therapies. However, the ultra-rare disease markets are inherently small, and Crysvita at ~$370M annualized is approaching peak penetration in major markets [1]. Product Pipeline (2/2): Exceptionally strong near-term catalysts — two PDUFA dates in H2 2026: DTX401 for glycogen storage disease type Ia (August 23, 2026) and UX111 for Sanfilippo syndrome type A (September 19, 2026), both representing potential first-in-disease approved gene therapies with no existing treatments [1]. Pivotal Phase 3 Aspire results for GTX-102 in Angelman syndrome also expected in 2026. R&amp;D Intensity (1/1): Heavy R&amp;D investment characteristic of a pre-profitability rare disease biotech, with the company maintaining a broad portfolio of clinical programs across enzyme replacement, gene therapy, and antisense oligonucleotide modalities.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Founder and CEO Emil Kakkis created Ultragenyx in 2010 with an explicit mission to develop treatments for patients with rare and ultra-rare genetic diseases who have no therapeutic options — a purpose born from his 22-year career developing treatments for rare disorders, including the first-ever treatment for MPS I (laronidase) [3]. This mission has been validated through 16 years of consistent execution delivering four approved therapies to patient populations that previously had none. Strategic decisions clearly trace to this purpose — investing in ultra-rare conditions where commercial returns are uncertain, running patient bootcamps to educate rare disease families on drug development [4], and maintaining pipeline programs in diseases affecting fewer than 1,000 patients globally. Community Impact (2/2): Ultragenyx runs rare disease bootcamps that teach patient families how to navigate drug development and advocate for treatments — a unique industry initiative featured on CNBC Cures in May 2026 [4]. The 2025 Impact Report emphasizes commitment to rare disease patients, innovation, and global impact [2]. Patient access programs ensure approved therapies reach patients regardless of geography or insurance status. The company's mission is inherently community-serving — every product treats a devastating genetic disease affecting small, underserved patient populations. Employee Retention (0/2): CEO Kakkis describes maintaining a startup culture at 1,371 employees where 'hierarchy shouldn't matter' and 'ideas come from all departments' [3]. A $81.53M ESOP share shelf registration for 3,400,000 shares filed in June 2026 demonstrates commitment to broad employee equity participation [5]. However, Glassdoor reviews from the prior screening period described Kakkis as cultivating 'a culture of domination and fear' with a 'huge attrition problem' — a serious red flag that the ESOP alone does not resolve. Mixed signals preclude a positive score. Insider Buying (1/2): CEO Emil Kakkis directly owns 2.81% of the company's shares worth $72.89M at current prices, representing heavy founder-level alignment with long-term shareholders [5]. His scientific vision and equity stake make him the company's anchor shareholder among management. However, the prior screening period identified net insider selling by the CFO and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Q1 2026 revenue of $136M is on track toward full-year guidance of $730-$760M, representing 8-13% growth over 2025 [1]. However, the most recent quarterly revenue reflected -2.2% YoY growth, a concern even as management reaffirmed full-year guidance implying acceleration through the remainder of 2026. The company reported a wider net loss of $185M in Q1 2026, reflecting the heavy R&amp;D investment burden of advancing multiple late-stage gene therapy programs. Profit margin of -90.9% indicates the company remains far from profitability, though management has guided to profitability in 2027. Forward P/E of 21.81 is a significant improvement from 287.97 in the prior screen, reflecting the stock's 45% appreciation from $23.30 to $33.82 as the market increasingly prices in a path to earnings — this is near the 20x target and represents a meaningful positive signal [6]. D/E and ROE are not applicable (biotech capital structure without traditional debt). The company's four approved products provide a revenue base that many clinical-stage biotechs lack, and the path to profitability is more credible than at any point in the company's history. Liquidity floor passes: 2,195,414 avg daily volume x $33.82 = $74.2M.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Ultragenyx under founder-CEO Emil Kakkis demonstrates strong infinite game characteristics rooted in a compelling just cause — treating patients with devastating rare diseases who have no other options — that has been validated through 16 years of execution. The willingness to invest in diseases affecting fewer than 1,000 patients globally, run patient education bootcamps, and expand from enzyme replacement to gene therapy all reflect purpose-driven strategic thinking. However, the company's infinite mindset is undermined by reported cultural problems — Glassdoor reviews describing fear-based leadership create tension between the inspiring mission and the internal reality. The ESOP and stock appreciation suggest improving alignment, but cultural concerns from the prior period have not been conclusively resolved.</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Emil Kakkis founded Ultragenyx in 2010 with the explicit purpose of developing treatments for patients with rare and ultra-rare genetic diseases who have no therapeutic options. This cause is deeply personal — Kakkis spent over two decades developing rare disease treatments before founding the company, including the first treatment for MPS I [3]. The cause has been validated through 16 years of execution: four approved products, multiple gene therapy programs targeting diseases with zero approved treatments, and continued investment in ultra-rare conditions where commercial returns are uncertain. The patient bootcamps — teaching rare disease families how to navigate drug development — extend the cause beyond the company's commercial operations into genuine community empowerment [4]. Sinek would cite this as a canonical just cause: inclusive, service-oriented, resilient, and idealistic.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signals persist. CEO Kakkis describes maintaining a flat organizational culture at 1,371 employees where 'hierarchy shouldn't matter' and 'ideas come from all departments' [3], and the $81.53M ESOP share shelf filed in June 2026 demonstrates commitment to broad-based employee ownership [5]. Leadership stability is strong with Kakkis leading since founding and experienced executives like CMO Eric Crombez. However, Glassdoor reviews from the prior screening period described a 'culture of domination and fear' with a 'huge attrition problem' and a 3.6/5 rating — serious allegations for a mission-driven organization that should attract purpose-motivated talent. The gap between Kakkis's public statements about collaborative culture and employees' reported experience creates genuine concern about whether the Circle of Safety extends throughout the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Ultragenyx operates in a competitive rare disease landscape alongside BioMarin, Alexion (AstraZeneca), Sarepta, and bluebird bio. No specific evidence of public acknowledgment of competitors' strengths or constructive use of rivalry for self-improvement was identified. The company's ultra-rare disease positioning implicitly sidesteps direct competition by targeting conditions where no treatments exist, which is a differentiation strategy rather than a competitive engagement strategy.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Ultragenyx has demonstrated meaningful strategic evolution in service of its rare disease mission. The company expanded from small-molecule and enzyme replacement therapy (Mepsevii, Crysvita) to gene therapy (DTX401 for GSDIa, UX111 for Sanfilippo) and antisense oligonucleotides (GTX-102 for Angelman syndrome), fundamentally broadening its therapeutic modality toolkit [1]. The setrusumab Phase 3 failure for osteogenesis imperfecta was absorbed and the company pivoted to what analysts describe as a 'cleaner rare disease opportunity' portfolio without abandoning its core purpose. The restructuring with workforce reduction and planned R&amp;D expense optimization demonstrates willingness to evolve the business model. Each pivot was driven by the just cause — serving rare disease patients through whatever modality offers the best therapeutic approach.</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Ultragenyx consistently makes courageous bets that prioritize patient impact over commercial certainty. Developing gene therapies for diseases affecting fewer than 1,000 patients globally requires conviction that most pharmaceutical companies lack. The company has operated for 16 years without profitability, reinvesting revenue from approved products into increasingly ambitious gene therapy programs [1]. Kakkis's decision to run patient bootcamps — teaching rare disease families to navigate drug development — demonstrates leadership that extends beyond shareholder value maximization [4]. The company absorbed the setrusumab failure, the resulting securities lawsuit, and a 42% stock drop without abandoning its mission or its commitment to unprofitable but transformative gene therapy programs. The path-to-profitability guidance for 2027, after 16 years of losses, reflects disciplined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Ultragenyx enters the most catalyst-rich period in its history with two PDUFA dates in H2 2026 — DTX401 for glycogen storage disease type Ia (August 23) and UX111 for Sanfilippo syndrome type A (September 19) — each representing a potential first-in-disease approved gene therapy in devastating conditions with no existing treatments [1]. The commercial base of four approved products generating $730-$760M in guided 2026 revenue provides a floor that most clinical-stage biotechs lack, while the gene therapy pipeline offers transformative upside. The stock's 45% appreciation since the prior screen (from $23.30 to $33.82) and Forward P/E compression from 288x to 21.8x reflect growing market confidence in the profitability path [6]. Founder-CEO Emil Kakkis's 22-year track record in rare disease drug development, 2.81% ownership stake worth $72.89M, and the company's unique patient bootcamp programs create a differentiated culture that sustains long-term innovation [3][5]. The path to profitability in 2027 would mark a fundamental inflection for a company that has invested 16 years building a multi-modality rare disease platform.</w:t>
      </w:r>
    </w:p>
    <w:p>
      <w:pPr>
        <w:spacing w:after="120"/>
      </w:pPr>
      <w:r>
        <w:rPr>
          <w:rFonts w:ascii="Calibri" w:hAnsi="Calibri"/>
          <w:b w:val="0"/>
          <w:color w:val="3A4A28"/>
          <w:sz w:val="20"/>
        </w:rPr>
        <w:t>The primary risk is clinical and regulatory: both pending gene therapy BLAs must navigate FDA review in H2 2026, and any complete response letter would significantly damage the investment thesis — the setrusumab Phase 3 failure in December 2025 (42% stock drop) demonstrates that pipeline risk is real [1]. Q1 2026 revenue of $136M included -2.2% YoY growth, raising concerns about commercial momentum even as management reaffirmed full-year guidance. The wider Q1 net loss of $185M on $136M revenue underscores that the company burns more than it earns, and the 2027 profitability target remains unproven. Reported cultural tensions — Glassdoor reviews describing fear-based leadership under Kakkis despite his inspiring mission — create organizational risk precisely when complex restructuring, regulatory submissions, and potential commercial launches require cohesive execution. Revenue concentration in Crysvita (~68% of Q1 product revenue) creates single-product dependency, and XLH market penetration may be approaching saturation. Gene therapy pricing and reimbursement remain uncertain, and AAV-based therapy manufacturing scale-up carries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DTX401 PDUFA date August 23, 2026 for glycogen storage disease type Ia — potential first approved gene therapy for GSDIa, addressing a devastating metabolic disease with no curative treatment [1]</w:t>
      </w:r>
    </w:p>
    <w:p>
      <w:pPr>
        <w:spacing w:before="40" w:after="40"/>
        <w:ind w:left="283"/>
      </w:pPr>
      <w:r>
        <w:rPr>
          <w:rFonts w:ascii="Calibri" w:hAnsi="Calibri"/>
          <w:b/>
          <w:color w:val="4A6B25"/>
          <w:sz w:val="20"/>
        </w:rPr>
        <w:t xml:space="preserve">2. </w:t>
      </w:r>
      <w:r>
        <w:rPr>
          <w:rFonts w:ascii="Calibri" w:hAnsi="Calibri"/>
          <w:b w:val="0"/>
          <w:color w:val="3A4A28"/>
          <w:sz w:val="20"/>
        </w:rPr>
        <w:t>UX111 PDUFA date September 19, 2026 for Sanfilippo syndrome type A — potential first approved treatment for this fatal neurodegenerative disease affecting children, representing transformative clinical and commercial value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in 2027 as revenue from four approved products scales toward $800M+ and gene therapy launches add incremental high-margin revenue, potentially triggering a fundamental re-rating of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Dual FDA review risk — complete response letters on either DTX401 or UX111 would significantly damage the investment thesis, as demonstrated by the setrusumab Phase 3 failure that triggered a 42% stock decline and securities class action</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Q1 2026 net loss of $185M on $136M revenue, creating ongoing cash burn risk if the 2027 profitability target is delayed by clinical setbacks or commercial underperformance [1]</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Crysvita (~68% of Q1 2026 product revenue at ~$370M annualized) creates single-product dependency as XLH market penetration may approach saturation in major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Rare disease drug development is exceptionally well-protected from AI disruption. The core competencies — conducting clinical trials in ultra-small patient populations (sometimes fewer than 100 patients globally), navigating orphan drug regulatory pathways, manufacturing complex biologics and gene therapy vectors (AAV production, cell processing, quality control), and maintaining physician relationships for ultra-rare disease diagnosis — are irreducibly human and physical. The ultra-rare disease focus creates additional protection: AI-driven drug discovery is least effective in diseases with minimal existing data and tiny patient populations, which is precisely Ultragenyx's domain. Orphan drug exclusivity provides regulatory barriers that AI-enabled competitors cannot easily overcome. The primary AI-related risk is that AI could enable competitors to more efficiently identify and target rare disease drug candidates, potentially compressing Ultragenyx's first-mover advantage in untreated conditions. AI Opportunity (1/1): AI has meaningful potential to benefit Ultragenyx's business — particularly in rare disease patient identification (accelerating diagnosis for diseases that average 5-7 years to diagnose), gene therapy vector optimization, and clinical trial endpoint analysis in small populations where traditional statistical methods are limited. The company's deep clinical datasets across multiple rare diseases could become increasingly valuable as AI tools for rare disease drug development mature.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Ultragenyx Q1 2026 Financial Results and Corporate Update — StockTitan / ir.ultragenyx.com, May 2026</w:t>
      </w:r>
    </w:p>
    <w:p>
      <w:pPr>
        <w:spacing w:before="20" w:after="20"/>
        <w:ind w:left="170"/>
      </w:pPr>
      <w:r>
        <w:rPr>
          <w:rFonts w:ascii="Calibri" w:hAnsi="Calibri"/>
          <w:b/>
          <w:color w:val="4A6B25"/>
          <w:sz w:val="15"/>
        </w:rPr>
        <w:t xml:space="preserve">2. </w:t>
      </w:r>
      <w:r>
        <w:rPr>
          <w:rFonts w:ascii="Calibri" w:hAnsi="Calibri"/>
          <w:b w:val="0"/>
          <w:color w:val="3A4A28"/>
          <w:sz w:val="17"/>
        </w:rPr>
        <w:t>Ultragenyx 2025 Impact Report — ir.ultragenyx.com, 2026</w:t>
      </w:r>
    </w:p>
    <w:p>
      <w:pPr>
        <w:spacing w:before="20" w:after="20"/>
        <w:ind w:left="170"/>
      </w:pPr>
      <w:r>
        <w:rPr>
          <w:rFonts w:ascii="Calibri" w:hAnsi="Calibri"/>
          <w:b/>
          <w:color w:val="4A6B25"/>
          <w:sz w:val="15"/>
        </w:rPr>
        <w:t xml:space="preserve">3. </w:t>
      </w:r>
      <w:r>
        <w:rPr>
          <w:rFonts w:ascii="Calibri" w:hAnsi="Calibri"/>
          <w:b w:val="0"/>
          <w:color w:val="3A4A28"/>
          <w:sz w:val="17"/>
        </w:rPr>
        <w:t>PharmaVoice — Emil Kakkis on Building a 'Next-Gen' Rare Disease Company; Ultragenyx CEO Bio, 2026</w:t>
      </w:r>
    </w:p>
    <w:p>
      <w:pPr>
        <w:spacing w:before="20" w:after="20"/>
        <w:ind w:left="170"/>
      </w:pPr>
      <w:r>
        <w:rPr>
          <w:rFonts w:ascii="Calibri" w:hAnsi="Calibri"/>
          <w:b/>
          <w:color w:val="4A6B25"/>
          <w:sz w:val="15"/>
        </w:rPr>
        <w:t xml:space="preserve">4. </w:t>
      </w:r>
      <w:r>
        <w:rPr>
          <w:rFonts w:ascii="Calibri" w:hAnsi="Calibri"/>
          <w:b w:val="0"/>
          <w:color w:val="3A4A28"/>
          <w:sz w:val="17"/>
        </w:rPr>
        <w:t>CNBC Cures — Emil Kakkis on Rare Disease Bootcamp and Road to Profitability, May 7,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Ultragenyx Leadership, Insider Ownership, ESOP Analysis, 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RARE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