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RBKB</w:t>
      </w:r>
      <w:r>
        <w:rPr>
          <w:rFonts w:ascii="Calibri" w:hAnsi="Calibri"/>
          <w:b/>
          <w:color w:val="1A2010"/>
          <w:sz w:val="40"/>
        </w:rPr>
        <w:t xml:space="preserve">  Rhinebeck Bancorp, Inc.</w:t>
      </w:r>
    </w:p>
    <w:p>
      <w:pPr>
        <w:spacing w:after="120"/>
      </w:pPr>
      <w:r>
        <w:rPr>
          <w:rFonts w:ascii="Calibri" w:hAnsi="Calibri"/>
          <w:b/>
          <w:color w:val="6E8450"/>
          <w:sz w:val="18"/>
        </w:rPr>
        <w:t>GROWTH SLEEVE · 2026-07-27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Rhinebeck Bancorp, Inc. is the holding company for Rhinebeck Bank, a 160-year-old community bank serving New York's Hudson Valley region. The bank offers traditional deposit products (checking, savings, CDs), residential mortgage lending, commercial real estate loans, and small business banking through a network of local branches. Rhinebeck Bank completed a second-step conversion from mutual to full stock ownership on July 21, 2026, raising $88.8M in gross proceeds at $10/share. Total assets of $1.47B with $926M in loans and $1.28B in deposits. Headquartered in Poughkeepsie, New York.</w:t>
      </w:r>
    </w:p>
    <w:p>
      <w:r>
        <w:rPr>
          <w:rFonts w:ascii="Calibri" w:hAnsi="Calibri"/>
          <w:b/>
          <w:color w:val="6E8450"/>
          <w:sz w:val="18"/>
        </w:rPr>
        <w:t>163 Employees · https://www.rhinebeckbank.com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Rhinebeck Bank partnered with MANTL to launch digital account opening capabilities, a modest incremental improvement for a 160-year-old community bank [2]. The appointment of digitally-savvy CEO Matthew Smith (former Chief Digital Banking Officer at Webster Bank) signals intent to modernize, but no transformative products or business model pivots have materialized in the last 5 years. AI Deployment (0/2): No evidence of AI-powered products, services, or internal AI-driven efficiency gains at Rhinebeck Bank. Market Share (0/2): Rhinebeck Bank is a micro-cap community bank with $1.47B in assets operating in the Hudson Valley, NY region — a modest player in a fragmented local market without category leadership or meaningful share gains [1]. Product Pipeline (0/2): No specific next-generation products announced with timelines beyond the general digital banking modernization initiative under new CEO Smith. R&amp;D Intensity (0/1): Banks do not typically report R&amp;D spending; no evidence of above-average technology investment relative to community bank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Rhinebeck Bank's mission — 'helping people and businesses flourish in the communities we live' with all decisions made locally by people who 'live and work in our community' — is clear community banking rhetoric but not distinctive from thousands of similar institutions [3]. The 160-year operating history provides longevity validation, but the mission itself is interchangeable with any community bank peer. Community Impact (1/2): Rhinebeck Bank provides charitable support for over 200 local non-profit organizations annually, supporting youth, families, educational programs, housing initiatives, and the arts, including a partnership with Marist University [3]. Genuine but standard community bank philanthropic programs without distinctive dollar amounts cited. Employee Retention (0/2): No specific employee retention or turnover data available. CEO Smith's practice of visiting every branch to meet employees in his first six months suggests relationship-oriented leadership, but this reflects style rather than measurable culture outcomes [2]. Insider Buying (0/2): No insider buying data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(D/E, Revenue Growth 5yr CAGR, Forward P/E, and Forward PEG unavailable — bank financial structure makes standard D/E misleading as deposits are liabilities). Return on average equity of 7.56% and return on average assets of 0.79% are below the 1.0%+ ROA threshold for high-performing community banks [1]. Net interest margin of 3.78% (down 19 basis points YoY) reflects competitive deposit pricing pressure. Profit margin of 18.9% on TTM total revenue of $52.05M is solid [5]. The bank completed a transformative second-step conversion on July 21, 2026, raising $88.8M in gross proceeds at $10/share, dramatically strengthening the capital base — Tier 1 capital ratio stands at 14.61%, well above regulatory minimums [1]. Asset quality is strong with NPLs at 0.37% and allowance coverage of 227% of non-performing loans. Total assets grew 12.9% to $1.47B while maintaining conservative credit standards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Rhinebeck Bank is a 160-year-old institution with genuine community roots, but it operates as a steady-state community bank rather than an infinite game player. The recent demutualization and CEO transition represent meaningful strategic evolution, but these are reactive adaptations to industry trends rather than proactive expressions of a Just Cause. The bank's competitive positioning is fundamentally defensive — preserving community relationships rather than advancing a transformative vision for banking.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Rhinebeck Bank's purpose of 'helping people and businesses flourish' in the Hudson Valley is genuine but functionally interchangeable with thousands of community banks nationwide [3]. The 160-year operating history provides evidence of durability but not of a distinctive cause — the bank has endured through multiple crises (Civil War, World Wars, Great Depression, 2008 crisis) primarily through conservative management and community entrenchment rather than pursuit of an inspiring vision. No unique Just Cause distinguishes Rhinebeck from peer community banks.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Smith's practice of visiting every branch to meet employees in person during his first six months signals genuine relationship-building [2]. The long tenure of predecessor Michael Quinn (40 years) suggests organizational stability, and the 160-year institutional continuity implies a culture that retains people. However, no specific retention data, employee satisfaction metrics, or cultural assessments are available to confirm trust levels within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Rhinebeck Bank's leadership frames competition with regional banks, credit unions, or fintech challengers. The bank's MANTL partnership suggests awareness of digital banking competition, but management commentary on competitive positioning and learning from rivals was not identified in available research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second-step conversion from mutual holding company to fully public stock corporation is a meaningful structural transformation — it fundamentally changes the bank's capital structure, ownership model, and strategic flexibility [1]. Combined with the CEO transition from 40-year veteran Michael Quinn to digital banking executive Matthew Smith (age 41), the bank is deliberately evolving. However, these are industry-standard adaptations rather than transformative pivots — many community banks have completed similar conversions and leadership successions.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 showed strategic courage in executing the second-step conversion — transforming from a mutual holding company to a fully public corporation, raising $88.8M, and appointing a younger (age 41), digitally experienced CEO in Matthew Smith to replace 40-year veteran Michael Quinn [1][2]. This represents a meaningful bet on growth and modernization over the comfortable status quo of mutual ownership, though the conversion also enriches management through stock-based compensation.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Rhinebeck Bancorp operates a conservatively managed 160-year-old community bank with $1.47B in assets, strong asset quality (0.37% NPLs, 227% allowance coverage), and well-above-minimum capital ratios (Tier 1 at 14.61%) [1]. The completed second-step conversion on July 21, 2026 raised $88.8M at $10/share, creating a substantial capital war chest for organic growth, potential acquisitions, and future share repurchases. New CEO Matthew Smith (former Chief Digital Banking Officer at Webster Bank) brings digital transformation experience to a bank positioned for modernization [2]. Trading at 13.81x trailing earnings and approximately 1.14x book value, the stock offers modest valuation support relative to tangible book.</w:t>
      </w:r>
    </w:p>
    <w:p>
      <w:pPr>
        <w:spacing w:after="120"/>
      </w:pPr>
      <w:r>
        <w:rPr>
          <w:rFonts w:ascii="Calibri" w:hAnsi="Calibri"/>
          <w:b w:val="0"/>
          <w:color w:val="3A4A28"/>
          <w:sz w:val="20"/>
        </w:rPr>
        <w:t>Growth headwinds are significant. Net interest income grew only 1.2% YoY despite a 12.9% increase in total assets, indicating net interest margin compression (3.78%, down 19 basis points) that could worsen if deposit competition intensifies [1]. The second-step conversion dilutes existing shareholders — pro forma shares roughly doubled to approximately 19.75M, meaning forward EPS will be substantially lower than the trailing $0.90 figure. The bank's efficiency ratio of 75.84% (deteriorating from 74.24%) lags high-performing community banks (target below 60%) and limits earnings leverage. With no dividend, no analyst coverage, and micro-cap status ($135M market cap), the stock offers limited catalysts for near-term price appreciation [5]. The 2022 NYS DFS settlement over dealer markup practices in indirect auto lending represents a historical governance blemish that, while resolved, reflects past compliance shortfalls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Deployment of $88.8M second-step conversion proceeds into earning assets — if the bank deploys even half at a 3.5% net spread, it could add $1.5M+ in annual pre-tax income, materially boosting ROA toward the 1.0% threshold for high-performing community banks [1]</w:t>
      </w:r>
    </w:p>
    <w:p>
      <w:pPr>
        <w:spacing w:before="40" w:after="40"/>
        <w:ind w:left="283"/>
      </w:pPr>
      <w:r>
        <w:rPr>
          <w:rFonts w:ascii="Calibri" w:hAnsi="Calibri"/>
          <w:b/>
          <w:color w:val="4A6B25"/>
          <w:sz w:val="20"/>
        </w:rPr>
        <w:t xml:space="preserve">2. </w:t>
      </w:r>
      <w:r>
        <w:rPr>
          <w:rFonts w:ascii="Calibri" w:hAnsi="Calibri"/>
          <w:b w:val="0"/>
          <w:color w:val="3A4A28"/>
          <w:sz w:val="20"/>
        </w:rPr>
        <w:t>Digital banking modernization under CEO Smith's leadership — MANTL partnership and potential fintech integrations could improve the 75.84% efficiency ratio and attract younger depositors in the competitive Hudson Valley market [2]</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initiation as excess capital grows post-conversion, which could attract income-focused investors and improve valuation multiples for this previously underfollowed mutual holding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margin compression (down 19 basis points to 3.78%) could accelerate if deposit pricing competition intensifies, particularly as larger banks and fintechs compete aggressively for deposits in the Hudson Valley region [1]</w:t>
      </w:r>
    </w:p>
    <w:p>
      <w:pPr>
        <w:spacing w:before="40" w:after="40"/>
        <w:ind w:left="283"/>
      </w:pPr>
      <w:r>
        <w:rPr>
          <w:rFonts w:ascii="Calibri" w:hAnsi="Calibri"/>
          <w:b/>
          <w:color w:val="4A6B25"/>
          <w:sz w:val="20"/>
        </w:rPr>
        <w:t xml:space="preserve">2. </w:t>
      </w:r>
      <w:r>
        <w:rPr>
          <w:rFonts w:ascii="Calibri" w:hAnsi="Calibri"/>
          <w:b w:val="0"/>
          <w:color w:val="3A4A28"/>
          <w:sz w:val="20"/>
        </w:rPr>
        <w:t>Second-step conversion dilution — pro forma EPS drops roughly 50% as shares nearly double, and the $88.8M in proceeds must be deployed profitably to avoid return on equity erosion from a significantly larger capital base [1]</w:t>
      </w:r>
    </w:p>
    <w:p>
      <w:pPr>
        <w:spacing w:before="40" w:after="40"/>
        <w:ind w:left="283"/>
      </w:pPr>
      <w:r>
        <w:rPr>
          <w:rFonts w:ascii="Calibri" w:hAnsi="Calibri"/>
          <w:b/>
          <w:color w:val="4A6B25"/>
          <w:sz w:val="20"/>
        </w:rPr>
        <w:t xml:space="preserve">3. </w:t>
      </w:r>
      <w:r>
        <w:rPr>
          <w:rFonts w:ascii="Calibri" w:hAnsi="Calibri"/>
          <w:b w:val="0"/>
          <w:color w:val="3A4A28"/>
          <w:sz w:val="20"/>
        </w:rPr>
        <w:t>Micro-cap liquidity risk with no analyst coverage, no dividend, and 371K average daily volume — institutional investors cannot easily build positions, limiting price discovery and creating downside vulnerability during market stress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is protected from AI disruption by multiple structural moats: regulatory barriers (FDIC-insured deposits, state banking charter, compliance requirements), switching costs (direct deposit relationships, loan covenants, branch convenience), and relationship-based lending requiring local market knowledge and human judgment [1]. Rhinebeck Bank's 160-year presence and 200+ nonprofit relationships create deep community entrenchment that AI cannot replicate. However, digital banking platforms and fintech lenders (SoFi, LendingClub, Marcus) represent real competitive pressure on commodity products like savings accounts, personal loans, and mortgage origination — the bank's MANTL digital account opening partnership acknowledges this encroachment [2]. AI Opportunity (0/1): No evidence of AI-generated revenue or AI-powered products offered to customers. The bank has not disclosed any AI deployment initiatives.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Rhinebeck Bancorp Q2 2026 Earnings Release and Second-Step Conversion Completion — AccessNewsWire, July 2026</w:t>
      </w:r>
    </w:p>
    <w:p>
      <w:pPr>
        <w:spacing w:before="20" w:after="20"/>
        <w:ind w:left="170"/>
      </w:pPr>
      <w:r>
        <w:rPr>
          <w:rFonts w:ascii="Calibri" w:hAnsi="Calibri"/>
          <w:b/>
          <w:color w:val="4A6B25"/>
          <w:sz w:val="15"/>
        </w:rPr>
        <w:t xml:space="preserve">2. </w:t>
      </w:r>
      <w:r>
        <w:rPr>
          <w:rFonts w:ascii="Calibri" w:hAnsi="Calibri"/>
          <w:b w:val="0"/>
          <w:color w:val="3A4A28"/>
          <w:sz w:val="17"/>
        </w:rPr>
        <w:t>Rhinebeck Bancorp Appoints Matthew J. Smith as President and CEO — Yahoo Finance / Globe and Mail, September 2025</w:t>
      </w:r>
    </w:p>
    <w:p>
      <w:pPr>
        <w:spacing w:before="20" w:after="20"/>
        <w:ind w:left="170"/>
      </w:pPr>
      <w:r>
        <w:rPr>
          <w:rFonts w:ascii="Calibri" w:hAnsi="Calibri"/>
          <w:b/>
          <w:color w:val="4A6B25"/>
          <w:sz w:val="15"/>
        </w:rPr>
        <w:t xml:space="preserve">3. </w:t>
      </w:r>
      <w:r>
        <w:rPr>
          <w:rFonts w:ascii="Calibri" w:hAnsi="Calibri"/>
          <w:b w:val="0"/>
          <w:color w:val="3A4A28"/>
          <w:sz w:val="17"/>
        </w:rPr>
        <w:t>Rhinebeck Bank Community Involvement and Mission — rhinebeckbank.com,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Rhinebeck Bank Settlement with NYS Department of Financial Services — PR Newswire, October 2022</w:t>
      </w:r>
    </w:p>
    <w:p>
      <w:pPr>
        <w:spacing w:before="20" w:after="20"/>
        <w:ind w:left="170"/>
      </w:pPr>
      <w:r>
        <w:rPr>
          <w:rFonts w:ascii="Calibri" w:hAnsi="Calibri"/>
          <w:b/>
          <w:color w:val="4A6B25"/>
          <w:sz w:val="15"/>
        </w:rPr>
        <w:t xml:space="preserve">5. </w:t>
      </w:r>
      <w:r>
        <w:rPr>
          <w:rFonts w:ascii="Calibri" w:hAnsi="Calibri"/>
          <w:b w:val="0"/>
          <w:color w:val="3A4A28"/>
          <w:sz w:val="17"/>
        </w:rPr>
        <w:t>Stock Analysis — RBKB Key Statistics and Financial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Rhinebeck Bancorp Q1 2026 Results ($2.2M Net Income) — StockTitan / SEC Filing,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