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RCL</w:t>
      </w:r>
      <w:r>
        <w:rPr>
          <w:rFonts w:ascii="Calibri" w:hAnsi="Calibri"/>
          <w:b/>
          <w:color w:val="1A2010"/>
          <w:sz w:val="40"/>
        </w:rPr>
        <w:t xml:space="preserve">  Royal Caribbean Cruises Ltd.</w:t>
      </w:r>
    </w:p>
    <w:p>
      <w:pPr>
        <w:spacing w:after="120"/>
      </w:pPr>
      <w:r>
        <w:rPr>
          <w:rFonts w:ascii="Calibri" w:hAnsi="Calibri"/>
          <w:b/>
          <w:color w:val="6E8450"/>
          <w:sz w:val="18"/>
        </w:rPr>
        <w:t>GROWTH SLEEVE · 2026-07-13 · Inspire: -1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Discretionary · Travel Services · NYSE · United States</w:t>
      </w:r>
    </w:p>
    <w:p>
      <w:pPr>
        <w:spacing w:after="80"/>
      </w:pPr>
      <w:r>
        <w:rPr>
          <w:rFonts w:ascii="Calibri" w:hAnsi="Calibri"/>
          <w:b w:val="0"/>
          <w:color w:val="3A4A28"/>
          <w:sz w:val="20"/>
        </w:rPr>
        <w:t>Royal Caribbean Cruises Ltd. operates as a global cruise company through three brands: Royal Caribbean International, Celebrity Cruises, and Silversea Cruises. The company operates 69 ships across destinations worldwide. Founded in 1968 and headquartered in Miami, Florida. Market cap approximately $76.5B.</w:t>
      </w:r>
    </w:p>
    <w:p>
      <w:r>
        <w:rPr>
          <w:rFonts w:ascii="Calibri" w:hAnsi="Calibri"/>
          <w:b/>
          <w:color w:val="6E8450"/>
          <w:sz w:val="18"/>
        </w:rPr>
        <w:t>108,000 Employees · https://www.royalcaribbeangroup.com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Royal Caribbean launched Icon of the Seas in January 2024, the world's largest cruise ship at 250,800 gross tons with 20 decks and capacity for 7,600 guests — a category-defining achievement that generated record booking demand [1]. The company also built a comprehensive digital ecosystem with its mobile app driving guest engagement and revenue per passenger. However, the core business model remains cruising with no transformative pivot. AI Deployment (1/2): CEO Jason Liberty disclosed that more than 90% of the company's 15 million daily price points are now AI-driven, and AI-based food production optimization reduced waste on ships by 50% [2]. These are measurable internal efficiency gains, though not customer-facing AI products. Market Share (2/2): RCL holds the #2 position in the global cruise industry by capacity and is the fastest-growing major operator, with 6.7% capacity increase planned for 2026 and revenue of $18.4B [1]. Brand strength is evidenced by consistent net yield growth. Product Pipeline (1/2): Star of the Seas (2025) and additional Oasis-class ships in the pipeline, with capacity growth of 6.7% in 2026 [1]. General visibility but limited specificity on next-generation innovations. R&amp;D Intensity (0/1): Cruise lines do not report R&amp;D spending separately; capex is directed toward ship construction rather than technology research.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Royal Caribbean's purpose centers on delivering 'the best vacation experiences' and CEO Liberty has articulated a vision to 'transform the $2 trillion vacation industry' [2]. This is clear and industry-specific but does not articulate a deeper purpose beyond the commercial mission — it describes what the company does, not why it matters beyond profit. Community Impact (1/2): The company maintains general corporate philanthropy programs including community engagement at port destinations and some environmental initiatives, though the D- environmental grade from Friends of the Earth and $473,685 EPA fine for waste management violations undercut impact claims [3]. Employee Retention (1/2): Mixed Glassdoor reviews cite both collaborative culture and innovation focus alongside complaints about toxic leadership, strict policies, and limited growth opportunities [2]. With 108,000 employees (largely crew), retention data is not publicly reported but turnover in hospitality is typically high. Insider Buying (0/2): No notable net insider buying by CEO or executives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RCL demonstrates strong financial performance with Q1 2026 revenue of $4.5B (up 11% YoY), adjusted EPS of $3.60 (up 33%), and full-year guidance of $17.10-$17.50 EPS [1]. ROE of 49.58% and profit margin of 24.4% reflect excellent capital efficiency. Forward P/E of 15.73 and PEG of 0.96 indicate attractive valuation relative to growth. The primary weakness is elevated debt-to-equity of 217%, reflecting $21.8B in debt accumulated during COVID-era survival financing against $512M cash [1]. Revenue growth 5yr CAGR of approximately 52% is heavily distorted by the 2020 COVID trough and should not be taken at face value — normalized pre-COVID to present growth is approximately 8-9% annually.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Royal Caribbean under Jason Liberty plays a mostly infinite game, with a genuine long-term vision for the vacation industry and willingness to invest through cycles. The company survived COVID's existential threat by taking on massive debt rather than retreating, then invested aggressively in next-generation ships. However, the Glassdoor culture concerns and environmental controversies suggest the organization's infinite mindset is strongest at the strategic level but inconsistent at the operational level.</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CEO Liberty has articulated a vision to 'transform the $2 trillion vacation industry' by combining physical experiences with digital innovation through the company's 'flywheel' strategy [2]. This is a genuine, distinctive purpose that goes beyond generic cruise operations. The company's 58-year history since 1968 demonstrates enduring commitment to the cruise experience. However, the cause hasn't been tested through the kind of multi-decade, multi-leadership consistency Sinek requires for a perfect score — Liberty became CEO in 2022.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Mixed evidence. On the positive side, 108,000 employees operate a complex global fleet requiring high coordination and trust between ship crews, onshore operations, and corporate teams [2]. Glassdoor reviews cite collaborative environments and cross-functional knowledge sharing. However, other reviews describe 'toxic culture,' 'degrading leadership,' strict attendance policies, and limited growth opportunities [2]. The reality of managing a large hospitality workforce with significant ship-based crew creates inherent trust challenges.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Royal Caribbean's competitive framing under Liberty is about improving the guest experience and expanding the vacation market, not about destroying Carnival or MSC. The 'flywheel' strategy focuses on internal improvement — linking digital engagement to loyalty to revenue — rather than competitor benchmarking [2]. Liberty's language about transforming the vacation industry implies growing the overall market, an infinite-minded approach.</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RCL has evolved from a traditional cruise operator to a technology-enabled experience platform, integrating AI pricing, digital guest engagement, and innovative ship design [2]. The company's survival through COVID — taking on $21.8B in debt rather than liquidating ships or dramatically shrinking — showed willingness to absorb enormous short-term pain for long-term survival. However, these are incremental evolutions rather than the kind of business-model-abandoning transformation Sinek describes.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RCL demonstrated courage during COVID by taking on massive debt to preserve its fleet and workforce rather than retreating, then immediately investing in Icon of the Seas — a $2B+ bet on the future of cruising that became the world's largest ship [1]. Full-year 2026 guidance adjustment to $17.10-$17.50 from $17.70-$18.10 was communicated transparently with specific headwind attribution ($0.62 fuel, $0.12 JV), showing honest leadership over earnings management [1]. However, no examples of walking away from profitable but misaligned business.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Royal Caribbean delivered record Q1 2026 results with $4.5B revenue (up 11% YoY) and adjusted EPS of $3.60 (up 33%), guiding to $17.10-$17.50 full-year EPS [1]. The company operates 69 ships with 6.7% capacity growth planned and net yields advancing 1.5-2.5% in constant currency. At 15.73x forward earnings and PEG of 0.96, RCL is attractively valued relative to its growth profile. The integration of AI-driven pricing (90% of 15M daily price points) and operational optimization demonstrates a technology-forward approach uncommon in the cruise industry [2]. With $76.5B market cap and strong demand visibility from advance bookings, RCL represents a high-quality franchise in the experience economy.</w:t>
      </w:r>
    </w:p>
    <w:p>
      <w:pPr>
        <w:spacing w:after="120"/>
      </w:pPr>
      <w:r>
        <w:rPr>
          <w:rFonts w:ascii="Calibri" w:hAnsi="Calibri"/>
          <w:b w:val="0"/>
          <w:color w:val="3A4A28"/>
          <w:sz w:val="20"/>
        </w:rPr>
        <w:t>The primary risk is the $21.8B debt load (D/E 217%) accumulated during COVID, which creates significant interest expense headwinds and balance sheet vulnerability in a recession [1]. Full-year guidance was trimmed by $0.60 to $17.10-$17.50 due to fuel cost headwinds ($0.62 impact) and joint venture losses, illustrating the sensitivity to input costs and geopolitical factors. Environmental controversies are material: a D- grade from Friends of the Earth for environmental practices, a $473,685 EPA fine for waste management violations, and criticism of methane emissions from LNG-powered Icon of the Seas [3]. The cruise industry remains cyclically exposed — premium discretionary spending is the first category consumers cut in downturns, and RCL's leverage amplifies downside in a recession scenario.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Capacity expansion of 6.7% in 2026 with new ship deliveries and net yield growth of 1.5-2.5% driving double-digit earnings growth toward $17+ EPS</w:t>
      </w:r>
    </w:p>
    <w:p>
      <w:pPr>
        <w:spacing w:before="40" w:after="40"/>
        <w:ind w:left="283"/>
      </w:pPr>
      <w:r>
        <w:rPr>
          <w:rFonts w:ascii="Calibri" w:hAnsi="Calibri"/>
          <w:b/>
          <w:color w:val="4A6B25"/>
          <w:sz w:val="20"/>
        </w:rPr>
        <w:t xml:space="preserve">2. </w:t>
      </w:r>
      <w:r>
        <w:rPr>
          <w:rFonts w:ascii="Calibri" w:hAnsi="Calibri"/>
          <w:b w:val="0"/>
          <w:color w:val="3A4A28"/>
          <w:sz w:val="20"/>
        </w:rPr>
        <w:t>AI-driven pricing optimization and operational efficiency gains expanding margins — 90% AI-driven price points and 50% waste reduction demonstrate tangible technology leverage</w:t>
      </w:r>
    </w:p>
    <w:p>
      <w:pPr>
        <w:spacing w:before="40" w:after="40"/>
        <w:ind w:left="283"/>
      </w:pPr>
      <w:r>
        <w:rPr>
          <w:rFonts w:ascii="Calibri" w:hAnsi="Calibri"/>
          <w:b/>
          <w:color w:val="4A6B25"/>
          <w:sz w:val="20"/>
        </w:rPr>
        <w:t xml:space="preserve">3. </w:t>
      </w:r>
      <w:r>
        <w:rPr>
          <w:rFonts w:ascii="Calibri" w:hAnsi="Calibri"/>
          <w:b w:val="0"/>
          <w:color w:val="3A4A28"/>
          <w:sz w:val="20"/>
        </w:rPr>
        <w:t>Debt reduction as strong FCF generation (guided $4B+ in 2026) progressively deleverages the balance sheet from 217% D/E toward investment-grade metrics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Debt-to-equity of 217% ($21.8B debt against $512M cash) creates significant interest expense burden and recession vulnerability — a demand downturn with this leverage profile could trigger covenant concerns</w:t>
      </w:r>
    </w:p>
    <w:p>
      <w:pPr>
        <w:spacing w:before="40" w:after="40"/>
        <w:ind w:left="283"/>
      </w:pPr>
      <w:r>
        <w:rPr>
          <w:rFonts w:ascii="Calibri" w:hAnsi="Calibri"/>
          <w:b/>
          <w:color w:val="4A6B25"/>
          <w:sz w:val="20"/>
        </w:rPr>
        <w:t xml:space="preserve">2. </w:t>
      </w:r>
      <w:r>
        <w:rPr>
          <w:rFonts w:ascii="Calibri" w:hAnsi="Calibri"/>
          <w:b w:val="0"/>
          <w:color w:val="3A4A28"/>
          <w:sz w:val="20"/>
        </w:rPr>
        <w:t>Environmental regulatory tightening threatens operating costs as the EU and IMO implement stricter emissions standards for cruise ships, with RCL's D- environmental rating signaling compliance gaps</w:t>
      </w:r>
    </w:p>
    <w:p>
      <w:pPr>
        <w:spacing w:before="40" w:after="40"/>
        <w:ind w:left="283"/>
      </w:pPr>
      <w:r>
        <w:rPr>
          <w:rFonts w:ascii="Calibri" w:hAnsi="Calibri"/>
          <w:b/>
          <w:color w:val="4A6B25"/>
          <w:sz w:val="20"/>
        </w:rPr>
        <w:t xml:space="preserve">3. </w:t>
      </w:r>
      <w:r>
        <w:rPr>
          <w:rFonts w:ascii="Calibri" w:hAnsi="Calibri"/>
          <w:b w:val="0"/>
          <w:color w:val="3A4A28"/>
          <w:sz w:val="20"/>
        </w:rPr>
        <w:t>Full-year guidance already trimmed by $0.60 due to fuel costs and JV headwinds — further commodity price spikes or geopolitical disruptions (Red Sea, port closures) could compress margins further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Royal Caribbean's core business is structurally immune to AI disruption. Operating 69 cruise ships carrying millions of passengers annually involves physical-world operations — maritime logistics, hospitality, entertainment, food service, and safety management — that AI cannot substitute [2]. The capital intensity ($1B+ per new ship), regulatory complexity (maritime law, port agreements, safety certifications), and experiential nature of cruise vacations create impenetrable barriers. AI may actually increase demand by making travel planning more accessible. The only minor exposure is in online booking channels where AI travel agents could reduce marketing ROI, but RCL's direct booking platform and loyalty programs mitigate this. AI Opportunity (1/1): RCL generates meaningful AI-driven revenue optimization with 90% of 15 million daily price points managed by AI algorithms and 50% waste reduction through AI-based food production forecasting [2]. These directly impact margins and revenue yield.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-1</w:t>
      </w:r>
      <w:r>
        <w:rPr>
          <w:rFonts w:ascii="Calibri" w:hAnsi="Calibri"/>
          <w:b/>
          <w:color w:val="B8860B"/>
          <w:sz w:val="20"/>
        </w:rPr>
        <w:t xml:space="preserve">    MIXED</w:t>
      </w:r>
    </w:p>
    <w:p>
      <w:pPr>
        <w:spacing w:before="80" w:after="40"/>
      </w:pPr>
      <w:r>
        <w:rPr>
          <w:rFonts w:ascii="Calibri" w:hAnsi="Calibri"/>
          <w:b/>
          <w:color w:val="6E8450"/>
          <w:sz w:val="18"/>
        </w:rPr>
        <w:t xml:space="preserve">Negative: </w:t>
      </w:r>
      <w:r>
        <w:rPr>
          <w:rFonts w:ascii="Calibri" w:hAnsi="Calibri"/>
          <w:b/>
          <w:color w:val="DC2626"/>
          <w:sz w:val="17"/>
        </w:rPr>
        <w:t xml:space="preserve"> Gambling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Royal Caribbean Group Q1 2026 Earnings Release and Full-Year Guidance — SEC 8-K Filing, April 2026</w:t>
      </w:r>
    </w:p>
    <w:p>
      <w:pPr>
        <w:spacing w:before="20" w:after="20"/>
        <w:ind w:left="170"/>
      </w:pPr>
      <w:r>
        <w:rPr>
          <w:rFonts w:ascii="Calibri" w:hAnsi="Calibri"/>
          <w:b/>
          <w:color w:val="4A6B25"/>
          <w:sz w:val="15"/>
        </w:rPr>
        <w:t xml:space="preserve">2. </w:t>
      </w:r>
      <w:r>
        <w:rPr>
          <w:rFonts w:ascii="Calibri" w:hAnsi="Calibri"/>
          <w:b w:val="0"/>
          <w:color w:val="3A4A28"/>
          <w:sz w:val="17"/>
        </w:rPr>
        <w:t>Royal Caribbean CEO Jason Liberty on AI, Digital Transformation, and Flywheel Strategy — Skift, PhocusWire, CXOTalk, 2025-2026</w:t>
      </w:r>
    </w:p>
    <w:p>
      <w:pPr>
        <w:spacing w:before="20" w:after="20"/>
        <w:ind w:left="170"/>
      </w:pPr>
      <w:r>
        <w:rPr>
          <w:rFonts w:ascii="Calibri" w:hAnsi="Calibri"/>
          <w:b/>
          <w:color w:val="4A6B25"/>
          <w:sz w:val="15"/>
        </w:rPr>
        <w:t xml:space="preserve">3. </w:t>
      </w:r>
      <w:r>
        <w:rPr>
          <w:rFonts w:ascii="Calibri" w:hAnsi="Calibri"/>
          <w:b w:val="0"/>
          <w:color w:val="3A4A28"/>
          <w:sz w:val="17"/>
        </w:rPr>
        <w:t>Royal Caribbean Environmental Controversies — Friends of the Earth Cruise Report Card, EPA Fine, Earth.Org, 2024-2026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RCL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