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w:t>
      </w:r>
      <w:r>
        <w:rPr>
          <w:rFonts w:ascii="Calibri" w:hAnsi="Calibri"/>
          <w:b/>
          <w:color w:val="1A2010"/>
          <w:sz w:val="40"/>
        </w:rPr>
        <w:t xml:space="preserve">  Ready Capital Corporation</w:t>
      </w:r>
    </w:p>
    <w:p>
      <w:pPr>
        <w:spacing w:after="120"/>
      </w:pPr>
      <w:r>
        <w:rPr>
          <w:rFonts w:ascii="Calibri" w:hAnsi="Calibri"/>
          <w:b/>
          <w:color w:val="6E8450"/>
          <w:sz w:val="18"/>
        </w:rPr>
        <w:t>DIVIDEND SLEEVE · 2026-07-10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Mortgage REITs · NYSE · United States</w:t>
      </w:r>
    </w:p>
    <w:p>
      <w:pPr>
        <w:spacing w:after="80"/>
      </w:pPr>
      <w:r>
        <w:rPr>
          <w:rFonts w:ascii="Calibri" w:hAnsi="Calibri"/>
          <w:b w:val="0"/>
          <w:color w:val="3A4A28"/>
          <w:sz w:val="20"/>
        </w:rPr>
        <w:t>Ready Capital Corporation is a multi-strategy real estate finance company that originates, acquires, finances, and services lower-to-middle-market commercial real estate loans. The company specializes in agency multifamily, investor and bridge loans, and SBA 7(a) business loans. Ready Capital is externally managed by Waterfall Asset Management and has been repositioning its balance sheet toward a lower-leverage, more capital-efficient platform since late 2025.</w:t>
      </w:r>
    </w:p>
    <w:p>
      <w:r>
        <w:rPr>
          <w:rFonts w:ascii="Calibri" w:hAnsi="Calibri"/>
          <w:b/>
          <w:color w:val="6E8450"/>
          <w:sz w:val="18"/>
        </w:rPr>
        <w:t>https://readycapital.com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Ready Capital has not launched any significant new products or executed meaningful business model transformations in the last five years. The company's 'balance sheet repositioning' initiated in Q4 2025 is a defensive restructuring driven by CLO collapses and loan losses, not innovation [1]. AI Deployment (0/2): No AI products, AI-powered services, or AI-driven efficiency gains reported. Market Share (0/2): Ready Capital is a small participant in the commercial mortgage REIT space with a $277 million market cap, holding no leadership position in any lending category [3]. Product Pipeline (0/2): No next-generation products announced. The company is actively shrinking its loan portfolio and reducing leverage rather than building new capabilities [1]. R&amp;D Intensity (0/1): Not applicable; financial companies do not typically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Ready Capital presents itself as a multi-strategy real estate finance company without articulating a distinctive purpose beyond providing capital to commercial real estate borrowers [5]. No mission, vision, or purpose statement differentiates the company from any other commercial mortgage REIT. Community Impact (0/2): No evidence of significant charitable programs, community investment, or social impact initiatives identified in public filings or press releases. Employee Retention (0/2): Multiple leadership changes in early 2026 — new Chief Credit Officer, new Co-President, COO departure — suggest organizational instability rather than retention strength [2]. No data on employee tenure or voluntary turnover available. Insider Buying (0/2): No evidence of meaningful insider buying identified in recent months. The company's stock has declined from $4.73 to $1.68 over the past year with no reported insider purchases to signal management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Ready Capital's Q1 2026 represents severe financial deterioration: total revenue of $81.73 million declined 47.3% year-over-year, GAAP loss from continuing operations was $1.25 per share, and book value per share fell to $7.43 from $8.79 at year-end [1]. Debt-to-equity of 381% exceeds the 300% floor, reflecting the company's leveraged balance sheet with $6.27 billion in debt against $152.8 million cash [3]. Return on equity of -15.2% and profit margin of -33.8% are both at floor. The only positive metric is 12 consecutive years of dividend payments (scoring 1.0 with 2x weight), though the quarterly dividend was slashed 92% from $0.125 to $0.01 per share [4]. Operating expenses increased $7.8 million quarter-over-quarter to $67.7 million, driven by $6.7 million in nonrecurring advance payments related to CLO collapses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Ready Capital is playing an emphatically finite game. The company exists to generate returns through leveraged commercial lending — there is no articulated purpose beyond financial performance. The current crisis (CLO collapses, 92% dividend cut, book value erosion) reveals a business model that prioritized short-term returns through aggressive leverage over long-term resilience. Leadership changes suggest reactive management rather than purposeful stewardship.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Ready Capital has no Just Cause. The company exists to originate and service commercial loans for financial returns — a legitimate business function but not a cause that inspires sacrifice or long-term commitment [5]. There is no articulated vision of a future state beyond 'repositioning the balance sheet' for sustainable earnings. Sinek would view this as a textbook finite player: optimizing for quarterly distributable earnings rather than building something that endures.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leadership changes in early 2026 — new Chief Credit Officer Dominick Scali, new Co-President David Cohen, COO Gary Taylor stepping down, operational duties shifting to Matt Cohen — suggest organizational instability and potential internal friction [2]. Book value declining $1.36 per share in a single quarter, GAAP losses of $1.25 per share, and a 92% dividend cut create an environment of stress and uncertainty inconsistent with high-trust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Ready Capital does not publicly reference competitors or articulate how competitive dynamics inform its strategy. The company's communications focus exclusively on its own restructuring and financial metrics — an inward-looking, finite-game posture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Ready Capital is attempting to transform from a leveraged balance sheet lender into a lower-leverage, more capital-efficient platform — a meaningful business model shift [1]. The company is actively selling loan portfolios, reducing CLO exposure, and restructuring toward fee-based income. However, this pivot is driven by desperation (CLO collapses, capital erosion) rather than strategic foresight, and the outcome remains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Ready Capital's balance sheet repositioning is driven by necessity, not courage — CLO collapses forced the company to delever, sell assets at losses, and slash the dividend 92% [1]. The $0.42 per share loss on loan sales and $0.47 loss on CECL reserves in Q1 2026 alone reflect forced liquidation, not principled long-term investment. No examples of leadership proactively sacrificing short-term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Ready Capital trades at $1.68 per share against a book value of $7.43, representing a 77% discount to book — a steep discount even for distressed mortgage REITs [1][3]. If the balance sheet repositioning succeeds and the company stabilizes earnings on a lower-leverage platform, the stock could re-rate meaningfully from current levels. The 12-year dividend payment track record suggests management's intent to maintain distributions, and the commercial real estate lending market should eventually recover from current credit stress.</w:t>
      </w:r>
    </w:p>
    <w:p>
      <w:pPr>
        <w:spacing w:after="120"/>
      </w:pPr>
      <w:r>
        <w:rPr>
          <w:rFonts w:ascii="Calibri" w:hAnsi="Calibri"/>
          <w:b w:val="0"/>
          <w:color w:val="3A4A28"/>
          <w:sz w:val="20"/>
        </w:rPr>
        <w:t>The bear case overwhelms the bull case: Q1 2026 GAAP loss of $1.25 per share consumed 14% of beginning book value in a single quarter, the dividend was slashed 92% to $0.01 per share, and the company is selling loan portfolios at losses to reduce leverage [1]. Debt-to-equity of 381% remains far above the 300% danger threshold even after deleveraging, and the negative forward P/E of -3.32 indicates analysts expect continued losses [3]. The CLO collapse dynamics that triggered the crisis may not be fully resolved, and further credit deterioration in commercial real estate could accelerate book value erosion. At $1.68 per share and a $277 million market cap, the stock reflects near-terminal distress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balance sheet repositioning toward a lower-leverage, fee-based income model that stabilizes distributable earnings and halts book value erosion</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credit conditions improving with Fed rate cuts, reducing CECL reserve charges and enabling loan portfolio recovery</w:t>
      </w:r>
    </w:p>
    <w:p>
      <w:pPr>
        <w:spacing w:before="40" w:after="40"/>
        <w:ind w:left="283"/>
      </w:pPr>
      <w:r>
        <w:rPr>
          <w:rFonts w:ascii="Calibri" w:hAnsi="Calibri"/>
          <w:b/>
          <w:color w:val="4A6B25"/>
          <w:sz w:val="20"/>
        </w:rPr>
        <w:t xml:space="preserve">3. </w:t>
      </w:r>
      <w:r>
        <w:rPr>
          <w:rFonts w:ascii="Calibri" w:hAnsi="Calibri"/>
          <w:b w:val="0"/>
          <w:color w:val="3A4A28"/>
          <w:sz w:val="20"/>
        </w:rPr>
        <w:t>Re-rating of the stock from its 77% discount to book value as the company demonstrates stabilized earnings and restores investor confidence in the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Book value erosion continuing beyond Q1 2026 levels, with additional CLO collapses, loan sales at losses, and CECL reserve charges further destroying equity — book value fell $1.36 per share in Q1 alone</w:t>
      </w:r>
    </w:p>
    <w:p>
      <w:pPr>
        <w:spacing w:before="40" w:after="40"/>
        <w:ind w:left="283"/>
      </w:pPr>
      <w:r>
        <w:rPr>
          <w:rFonts w:ascii="Calibri" w:hAnsi="Calibri"/>
          <w:b/>
          <w:color w:val="4A6B25"/>
          <w:sz w:val="20"/>
        </w:rPr>
        <w:t xml:space="preserve">2. </w:t>
      </w:r>
      <w:r>
        <w:rPr>
          <w:rFonts w:ascii="Calibri" w:hAnsi="Calibri"/>
          <w:b w:val="0"/>
          <w:color w:val="3A4A28"/>
          <w:sz w:val="20"/>
        </w:rPr>
        <w:t>Debt-to-equity of 381% remains dangerously elevated, and inability to refinance or repay maturing obligations could force additional distressed asset sales or a capital raise at deeply dilutive prices</w:t>
      </w:r>
    </w:p>
    <w:p>
      <w:pPr>
        <w:spacing w:before="40" w:after="40"/>
        <w:ind w:left="283"/>
      </w:pPr>
      <w:r>
        <w:rPr>
          <w:rFonts w:ascii="Calibri" w:hAnsi="Calibri"/>
          <w:b/>
          <w:color w:val="4A6B25"/>
          <w:sz w:val="20"/>
        </w:rPr>
        <w:t xml:space="preserve">3. </w:t>
      </w:r>
      <w:r>
        <w:rPr>
          <w:rFonts w:ascii="Calibri" w:hAnsi="Calibri"/>
          <w:b w:val="0"/>
          <w:color w:val="3A4A28"/>
          <w:sz w:val="20"/>
        </w:rPr>
        <w:t>Permanent impairment of the dividend franchise — the 92% cut from $0.125 to $0.01 per quarter may signal the beginning of a complete suspension, destroying the income-investor base that historically supported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mortgage lending involves complex credit underwriting, relationship management with borrowers and brokers, regulatory compliance across federal and state jurisdictions, and physical property evaluation — functions with meaningful defensive moats against AI substitution [5]. Switching costs for borrowers in structured finance and bridge lending are substantial. However, AI tools are increasingly capable of automating loan origination workflows, credit scoring, document processing, and portfolio risk analysis, which could compress margins in commoditized lending segments. Analysts have not specifically flagged AI as a displacement risk for mortgage REITs. AI Opportunity (0/1): Ready Capital does not generate AI-related revenue and has not reported deploying AI tools in its lending or servicing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Ready Capital Q1 2026 Earnings Release and 10-Q Filing — SEC and IR, May 2026</w:t>
      </w:r>
    </w:p>
    <w:p>
      <w:pPr>
        <w:spacing w:before="20" w:after="20"/>
        <w:ind w:left="170"/>
      </w:pPr>
      <w:r>
        <w:rPr>
          <w:rFonts w:ascii="Calibri" w:hAnsi="Calibri"/>
          <w:b/>
          <w:color w:val="4A6B25"/>
          <w:sz w:val="15"/>
        </w:rPr>
        <w:t xml:space="preserve">2. </w:t>
      </w:r>
      <w:r>
        <w:rPr>
          <w:rFonts w:ascii="Calibri" w:hAnsi="Calibri"/>
          <w:b w:val="0"/>
          <w:color w:val="3A4A28"/>
          <w:sz w:val="17"/>
        </w:rPr>
        <w:t>Ready Capital Leadership Changes Announcement — Press Release,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and Yahoo Finance — RC Key Statistics, Balance Sheet, and Valuation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MarketBeat — RC Dividend History, Payout Ratio, and Earnings Reports,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Ready Capital Corporate Website — readycapital.com,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