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REFI</w:t>
      </w:r>
      <w:r>
        <w:rPr>
          <w:rFonts w:ascii="Calibri" w:hAnsi="Calibri"/>
          <w:b/>
          <w:color w:val="1A2010"/>
          <w:sz w:val="40"/>
        </w:rPr>
        <w:t xml:space="preserve">  Chicago Atlantic Real Estate Finance, Inc.</w:t>
      </w:r>
    </w:p>
    <w:p>
      <w:pPr>
        <w:spacing w:after="120"/>
      </w:pPr>
      <w:r>
        <w:rPr>
          <w:rFonts w:ascii="Calibri" w:hAnsi="Calibri"/>
          <w:b/>
          <w:color w:val="6E8450"/>
          <w:sz w:val="18"/>
        </w:rPr>
        <w:t>GROWTH SLEEVE · 2026-08-20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Mortgage Real Estate Investment Trusts (REITs) · NASDAQ · United States</w:t>
      </w:r>
    </w:p>
    <w:p>
      <w:pPr>
        <w:spacing w:after="80"/>
      </w:pPr>
      <w:r>
        <w:rPr>
          <w:rFonts w:ascii="Calibri" w:hAnsi="Calibri"/>
          <w:b w:val="0"/>
          <w:color w:val="3A4A28"/>
          <w:sz w:val="20"/>
        </w:rPr>
        <w:t>Chicago Atlantic Real Estate Finance is a commercial mortgage REIT specializing in first and second lien loans secured by cannabis industry properties. The company originates senior secured, real-estate-backed loans to state-licensed cannabis cultivation, processing, and retail businesses operating in regulated markets. Founded in 2019, IPO'd December 2021, and headquartered in Miami Beach, Florida, REFI manages a $453.1M loan portfolio across 26 portfolio companies with a gross unlevered weighted average yield to maturity of 15.8%. The company is externally managed by Chicago Atlantic Group and fills a niche created by federal cannabis prohibition that prevents traditional banks from lending to the sector.</w:t>
      </w:r>
    </w:p>
    <w:p>
      <w:r>
        <w:rPr>
          <w:rFonts w:ascii="Calibri" w:hAnsi="Calibri"/>
          <w:b/>
          <w:color w:val="6E8450"/>
          <w:sz w:val="18"/>
        </w:rPr>
        <w:t>https://www.refi.reit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REFI has incrementally expanded its lending toolkit from purely first-lien senior secured loans to include second-lien financing, evidenced by the July 2026 issuance of $62.5M in second-lien notes secured by thirty-two cannabis retail properties managed by Koach Properties [1]. This represents a modest product extension within the same niche rather than a transformative pivot. AI Deployment (0/2): No evidence of AI-powered products or AI-driven operational efficiencies. The company's lending operations remain traditional relationship-based underwriting with manual credit assessment. Market Share (1/2): REFI is one of only a handful of publicly traded cannabis-focused REITs, operating in a niche created by federal prohibition that blocks traditional banks from cannabis lending [2]. The $453.1M portfolio across 26 companies makes it a meaningful player, but the total addressable market remains constrained by regulatory uncertainty and the sector's fragmented nature. Product Pipeline (0/2): No next-generation products announced beyond continued loan origination within existing structures. Management has not articulated a product roadmap beyond maintaining current lending operations. R&amp;D Intensity (0/1): Not applicable — REITs do not conduct R&amp;D, and the externally managed structure means operational innovation is the purview of Chicago Atlantic Group, not the REIT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Chicago Atlantic does not articulate a mission or purpose statement beyond its business description as a commercial real estate finance company focused on cannabis lending [3]. The website positions the company purely as a capital provider filling a regulatory gap — a valid business thesis but not a cause. The implicit purpose of 'serving an underbanked industry' is a business opportunity framing, not an idealistic vision. Community Impact (0/2): No evidence of charitable giving, community investment, or foundation activities was found in public materials or press releases. Employee Retention (0/2): As an externally managed REIT, REFI itself has minimal direct employees; staff are employed by Chicago Atlantic Group. No retention or tenure data is publicly available for either entity. Insider Buying (0/2): No evidence of meaningful net insider buying was identified. Executive Chairman Mazarakis and Co-CEO Cappell have not disclosed significant open-market purchases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REFI demonstrates exceptional profitability with a 60.21% net profit margin reflecting the high-yield cannabis lending spread, and conservative leverage with D/E of 46.58% well below the 70% target [4]. Forward P/E of 5.60x reflects deep discount valuation driven by cannabis sector regulatory uncertainty and declining earnings trajectory. ROE of 9.61% falls short of the 15% target, dragged by the declining revenue base and rising credit loss reserves ($9.4M reserve at Q2 2026) [1]. Revenue declined 13.73% YoY as the cannabis lending market contracted amid ongoing federal prohibition uncertainty, scoring poorly on growth metrics. The stock clears the liquidity floor at ~$1.75M daily dollar volume. Key weakness: revenue growth 5yr CAGR and Forward PEG are unavailable due to the company's 2021 IPO, excluding two double-weighted growth metrics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REFI is a purpose-agnostic financial vehicle designed to generate yield from a regulatory arbitrage opportunity in cannabis lending. The company does not articulate a Just Cause, has not demonstrated courageous long-term investments beyond its founding thesis, and is too young to have proven existential flexibility or earned worthy rival awareness. The co-founding team has remained stable, providing adequate organizational trust, but the externally managed structure and pure profit motivation place REFI firmly in finite game territory by Sinek's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REFI exists to generate returns from cannabis real estate lending — a business opportunity created by federal prohibition preventing traditional banks from serving the sector [2]. There is no articulated vision of a better future, no purpose beyond profit, and no cause that inspires sacrifice. The company's investor materials focus exclusively on yield, portfolio metrics, and dividend coverage. This is a purely finite player optimizing for quarterly distributable earnings.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co-founding team of Mazarakis and Cappell has remained with the company since 2019, providing leadership continuity through IPO and market cycles [3]. The transition to Peter Sack as CEO in March 2025 was orderly. The small, specialized team operates without evidence of major cultural disruption, layoffs, or organizational instability. However, the externally managed structure creates inherent distance between the REIT entity and its operational team, and no employee engagement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REFI's competitive positioning focuses on its unique access to an underbanked market rather than learning from competitors. Management commentary centers on the regulatory gap that prevents bank competition rather than acknowledging rivals' strengths or using competitive dynamics for self-improvement. The company operates as if its competitive advantage is the absence of competition rather than the quality of its offering.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REFI has operated the same cannabis lending model since founding in 2019 and has not faced a strategic inflection point requiring reinvention [3]. The company is too young and too narrowly focused to have demonstrated transformative flexibility. If federal cannabis legalization occurs (enabling traditional banks to enter), REFI would face an existential challenge that would test its ability to pivot — but there is no evidence of contingency planning or strategic diversification beyond cannabis.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that sacrifice near-term earnings. The company operates pragmatically within its niche, maintaining high dividend distributions (90-100% of distributable earnings) rather than building reserves or investing in capability beyond current operations [1]. Book value per share declined from $14.39 to $14.15 in Q2 2026, suggesting the company distributes nearly all earnings rather than reinvesting for future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REFI offers an extraordinary 17.75% dividend yield from a niche cannabis lending operation with $453.1M in loans across 26 portfolio companies at a gross unlevered weighted average yield to maturity of 15.8% [1]. The stock trades at just 5.60x forward earnings and 0.88x book value, reflecting deep value if the cannabis lending market stabilizes. Conservative leverage (46.6% D/E) and 60%+ profit margins demonstrate the structural profitability of being one of the few capital providers in a federally underbanked industry. Q2 2026 distributable earnings of $0.43/share cover the $0.47 quarterly dividend at approximately 91%, within management's 90-100% target range.</w:t>
      </w:r>
    </w:p>
    <w:p>
      <w:pPr>
        <w:spacing w:after="120"/>
      </w:pPr>
      <w:r>
        <w:rPr>
          <w:rFonts w:ascii="Calibri" w:hAnsi="Calibri"/>
          <w:b w:val="0"/>
          <w:color w:val="3A4A28"/>
          <w:sz w:val="20"/>
        </w:rPr>
        <w:t>The bear case is severe: revenue declined 13.73% YoY and EPS fell 26% as the cannabis lending market contracts under persistent federal prohibition uncertainty [4]. The payout ratio of 138% on a net income basis (vs. distributable earnings) signals that the dividend may require further cuts — REFI already reduced its quarterly dividend from $0.76 to $0.47 in 2024. Book value erosion ($14.39 to $14.15 in one quarter) indicates the company is slowly consuming capital. Total liquidity of only $16M as of August 11, 2026 leaves minimal buffer against credit losses, while the $9.4M credit loss reserve suggests portfolio stress [1]. Federal cannabis rescheduling or legalization — while potentially positive long-term — would eliminate REFI's competitive moat by allowing traditional banks to enter cannabis lending at far lower yields. The stock's 164,945 average daily volume creates meaningful liquidity risk for institutional-sized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cannabis rescheduling from Schedule I to Schedule III could dramatically improve borrower creditworthiness, reduce credit losses, and expand the addressable lending market — though it would also invite bank competition at lower yields [2]</w:t>
      </w:r>
    </w:p>
    <w:p>
      <w:pPr>
        <w:spacing w:before="40" w:after="40"/>
        <w:ind w:left="283"/>
      </w:pPr>
      <w:r>
        <w:rPr>
          <w:rFonts w:ascii="Calibri" w:hAnsi="Calibri"/>
          <w:b/>
          <w:color w:val="4A6B25"/>
          <w:sz w:val="20"/>
        </w:rPr>
        <w:t xml:space="preserve">2. </w:t>
      </w:r>
      <w:r>
        <w:rPr>
          <w:rFonts w:ascii="Calibri" w:hAnsi="Calibri"/>
          <w:b w:val="0"/>
          <w:color w:val="3A4A28"/>
          <w:sz w:val="20"/>
        </w:rPr>
        <w:t>New second-lien financing products ($62.5M July 2026 deal) could expand the total addressable portfolio beyond first-lien senior secured, increasing origination volume and net interest income if credit quality holds [1]</w:t>
      </w:r>
    </w:p>
    <w:p>
      <w:pPr>
        <w:spacing w:before="40" w:after="40"/>
        <w:ind w:left="283"/>
      </w:pPr>
      <w:r>
        <w:rPr>
          <w:rFonts w:ascii="Calibri" w:hAnsi="Calibri"/>
          <w:b/>
          <w:color w:val="4A6B25"/>
          <w:sz w:val="20"/>
        </w:rPr>
        <w:t xml:space="preserve">3. </w:t>
      </w:r>
      <w:r>
        <w:rPr>
          <w:rFonts w:ascii="Calibri" w:hAnsi="Calibri"/>
          <w:b w:val="0"/>
          <w:color w:val="3A4A28"/>
          <w:sz w:val="20"/>
        </w:rPr>
        <w:t>Analyst coverage expansion (Citizens initiated at Market Outperform with $15.12 average price target on August 12, 2026) may improve institutional awareness and reduce the deep discount to book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Cannabis industry credit deterioration as borrower profitability compresses from state-level price deflation and oversupply — the $9.4M credit loss reserve on a $453.1M portfolio may prove inadequate if operator defaults accelerate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the 138% net income payout ratio and prior dividend cut from $0.76 to $0.47/quarter signal that further reductions are possible if distributable earnings continue declining, which would remove the primary investment thesis [4]</w:t>
      </w:r>
    </w:p>
    <w:p>
      <w:pPr>
        <w:spacing w:before="40" w:after="40"/>
        <w:ind w:left="283"/>
      </w:pPr>
      <w:r>
        <w:rPr>
          <w:rFonts w:ascii="Calibri" w:hAnsi="Calibri"/>
          <w:b/>
          <w:color w:val="4A6B25"/>
          <w:sz w:val="20"/>
        </w:rPr>
        <w:t xml:space="preserve">3. </w:t>
      </w:r>
      <w:r>
        <w:rPr>
          <w:rFonts w:ascii="Calibri" w:hAnsi="Calibri"/>
          <w:b w:val="0"/>
          <w:color w:val="3A4A28"/>
          <w:sz w:val="20"/>
        </w:rPr>
        <w:t>Federal legalization risk paradox — while broadly positive for cannabis, full legalization would eliminate the regulatory moat that prevents traditional banks from competing, compressing REFI's lending yields from 15.8% toward conventional commercial real estate rates of 6-8%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REFI's core business — originating and managing real estate-backed loans to cannabis operators — is structurally protected from AI disruption. The lending process involves physical property assessment, complex multi-state regulatory compliance (each state has unique cannabis licensing frameworks), relationship-driven deal sourcing in a market where traditional banks are federally prohibited from participating, and judgment-intensive credit underwriting for an industry with limited standardized financial data [2]. AI cannot replace the regulatory navigation, physical site inspection, or relationship-based deal flow that drives origination. The niche nature of cannabis lending — requiring deep industry-specific knowledge of license valuations, cultivation economics, and state-by-state regulatory risk — creates a human-expertise moat. AI Opportunity (0/1): REFI generates no revenue from AI products or services. The company has not disclosed any AI-driven underwriting tools, portfolio monitoring systems, or AI-enhanced lending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Chicago Atlantic Real Estate Finance Q2 2026 Earnings Release — Net Income $7.5M ($0.34/share), Distributable Earnings $9.3M ($0.43/share), $453.1M Portfolio, $59.2M Gross Originations, August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GlobeNewsWire — Chicago Atlantic Cannabis Lending Business Model, Second-Lien Financing of 32 Cannabis Retail Properties ($62.5M), July 2026</w:t>
      </w:r>
    </w:p>
    <w:p>
      <w:pPr>
        <w:spacing w:before="20" w:after="20"/>
        <w:ind w:left="170"/>
      </w:pPr>
      <w:r>
        <w:rPr>
          <w:rFonts w:ascii="Calibri" w:hAnsi="Calibri"/>
          <w:b/>
          <w:color w:val="4A6B25"/>
          <w:sz w:val="15"/>
        </w:rPr>
        <w:t xml:space="preserve">3. </w:t>
      </w:r>
      <w:r>
        <w:rPr>
          <w:rFonts w:ascii="Calibri" w:hAnsi="Calibri"/>
          <w:b w:val="0"/>
          <w:color w:val="3A4A28"/>
          <w:sz w:val="17"/>
        </w:rPr>
        <w:t>Chicago Atlantic Corporate Website — Management Team, Board of Directors,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REFI Key Statistics: Forward P/E 5.60x, ROE 9.61%, Profit Margin 60.21%, D/E 46.58%, Stock Price $10.59, Avg Volume 164,945, Dividend Yield 17.75%,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