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RES</w:t>
      </w:r>
      <w:r>
        <w:rPr>
          <w:rFonts w:ascii="Calibri" w:hAnsi="Calibri"/>
          <w:b/>
          <w:color w:val="1A2010"/>
          <w:sz w:val="40"/>
        </w:rPr>
        <w:t xml:space="preserve">  RPC, Inc.</w:t>
      </w:r>
    </w:p>
    <w:p>
      <w:pPr>
        <w:spacing w:after="120"/>
      </w:pPr>
      <w:r>
        <w:rPr>
          <w:rFonts w:ascii="Calibri" w:hAnsi="Calibri"/>
          <w:b/>
          <w:color w:val="6E8450"/>
          <w:sz w:val="18"/>
        </w:rPr>
        <w:t>GROWTH SLEEVE · 2026-07-13 · Inspire: 45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RPC, Inc. provides diversified oilfield services and equipment to independent and major oil and gas companies. Core services include pressure pumping (fracturing), downhole tools, coiled tubing, nitrogen services, and well control. Founded in 1984 and headquartered in Atlanta, Georgia. Market cap approximately $1.2B.</w:t>
      </w:r>
    </w:p>
    <w:p>
      <w:r>
        <w:rPr>
          <w:rFonts w:ascii="Calibri" w:hAnsi="Calibri"/>
          <w:b/>
          <w:color w:val="6E8450"/>
          <w:sz w:val="18"/>
        </w:rPr>
        <w:t>2,893 Employees · https://www.rpc.net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RPC completed the upgrade of its fleet to dual-fuel capability, making two-thirds of deployed fracture capacity more environmentally friendly — a meaningful operational improvement but incremental rather than transformative [3]. Q1 2026 revenue of $454.8M grew 36.6% YoY, the fastest growth among oilfield services peers, driven by Technical Services strength in pressure pumping and downhole tools [1]. However, this reflects cyclical recovery and market positioning, not product innovation. AI Deployment (0/2): No evidence of AI deployment or AI-driven products/services found. Oilfield services operations remain primarily equipment- and labor-intensive [2]. Market Share (1/2): RPC is a meaningful mid-tier player in North American pressure pumping, gaining share through the dual-fuel fleet upgrade and competitive pricing. Q1 2026 represented the largest analyst estimate beat among oilfield services peers, indicating improving competitive position [1]. Product Pipeline (0/2): No specific next-generation services, technologies, or product launches with timelines disclosed. Capex guidance of $160-180M for 2026 focuses on fleet maintenance, not innovation [1]. R&amp;D Intensity (0/1): No R&amp;D spending disclosed; capital allocation is directed toward fleet maintenance and capacity.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RPC presents itself as a provider of diversified oilfield services with a focus on safety and operational excellence, but no distinctive mission or purpose statement is articulated on the company website or in public materials [2]. The company exists to serve oil and gas producers — a clear commercial purpose but interchangeable with any peer. Community Impact (0/2): No evidence of charitable programs, community investment, or corporate philanthropy beyond standard industry practices. Shareholders have repeatedly urged RPC to improve ESG disclosure since 2014, with Walden Asset Management and Friends Fiduciary noting RPC lagged peers like Baker Hughes and Halliburton in transparency [3]. Employee Retention (1/2): Glassdoor rating of 3.4/5 with 64% CEO approval and scores of 3.5 for work/life balance and 3.3 for culture/values indicate an adequate but unremarkable work environment [2]. With 2,893 employees, no specific retention or tenure data is available. Insider Buying (0/2): Net insider selling identified — Chairman Richard Hubbell sold $101,289 in RES stock in January 2026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RPC's balance sheet stands out with a low debt-to-equity of 34%, well below the 70% target, reflecting conservative leverage management [4]. However, profitability is severely compressed: profit margin of approximately 1.1% ($19.6M net income on $1.75B revenue) and ROE of just 4.4% indicate the company is barely profitable despite strong revenue growth [1]. Forward P/E of 27.23 is above the 20 target. Revenue growth YoY of 27.6% is robust, driven by Technical Services recovery. Capex guidance of $160-180M is manageable relative to the $1.75B revenue base. The payout ratio of 106.7% exceeds earnings, signaling the $0.16 annual dividend may not be sustainable if margins remain compressed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RPC operates with a primarily finite mindset, focused on cyclical execution rather than long-term vision. The company has survived multiple oil price cycles since 1984 through conservative balance sheet management, but there is no articulated Just Cause beyond serving E&amp;P customers. Leadership is stable but conventional, and the lack of ESG transparency despite years of shareholder pressure suggests a reactive rather than principled approach to stakeholder management.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RPC exists to provide oilfield services to oil and gas producers — a clear commercial purpose but one devoid of a larger vision for a better future [2]. There is no articulated cause that would inspire employees to sacrifice or attract talent beyond compensation. The company's 42-year history demonstrates endurance but not purpose-driven leadership. The dual-fuel fleet upgrade was framed as customer- and market-driven, not mission-driven.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Glassdoor rating of 3.4/5 indicates an adequate working environment. CEO Ben Palmer has been in role since May 2022, and leadership has been relatively stable with Chairman Hubbell serving since the same period [2]. Work/life balance score of 3.5 and culture/values at 3.3 suggest average organizational trust. However, the senior management score of 2.9/5 on Glassdoor indicates some employee dissatisfaction with leadership quality.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that RPC acknowledges competitors' strengths or frames competition as motivation for self-improvement. The company's competitive positioning focuses on market share in pressure pumping and pricing competitiveness — finite game language about winning contracts rather than improving capabilities. No management commentary references learning from rivals like Halliburton, Liberty Energy, or other oilfield services peers.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RPC has adapted through multiple oil price cycles — scaling capacity up and down, upgrading its fleet to dual-fuel capability, and diversifying within Technical and Support Services segments [1][3]. These are incremental adaptations to market conditions rather than transformative business model pivots. The company remains fundamentally the same oilfield services provider it was at founding.</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(0/2): No evidence of leadership making courageous long-term investments at the cost of short-term results. The dual-fuel fleet upgrade was a market-driven necessity shared by most peers, not a distinctive act of courage. The company's conservative balance sheet (34% D/E) reflects prudence but also risk aversion. Chairman Hubbell's insider selling of $101K in January 2026 does not signal conviction in the long-term story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RPC delivered a strong Q1 2026 with revenue of $454.8M (up 36.6% YoY), the fastest growth and largest analyst beat among oilfield services peers, driven by Technical Services strength in pressure pumping and downhole tools [1]. The conservative balance sheet with just 34% debt-to-equity and $160-180M capex guidance provides financial flexibility through oil price volatility. At $1.2B market cap with $1.75B TTM revenue, the stock trades below 1x revenue, offering value if margins recover toward historical levels.</w:t>
      </w:r>
    </w:p>
    <w:p>
      <w:pPr>
        <w:spacing w:after="120"/>
      </w:pPr>
      <w:r>
        <w:rPr>
          <w:rFonts w:ascii="Calibri" w:hAnsi="Calibri"/>
          <w:b w:val="0"/>
          <w:color w:val="3A4A28"/>
          <w:sz w:val="20"/>
        </w:rPr>
        <w:t>The fundamental challenge is profitability compression: net income collapsed 72.5% to $19.6M on $1.75B revenue, yielding a 1.1% profit margin and 4.4% ROE [1]. The PE ratio of 61x on trailing earnings reflects a business that has lost pricing power despite strong revenue growth — a classic oilfield services squeeze where costs have risen faster than service pricing. The $0.16 annual dividend (2.83% yield) is not covered by earnings with a 107% payout ratio, raising sustainability questions [4]. Chairman Hubbell's insider selling and the company's decade-long resistance to ESG disclosure despite shareholder pressure from Walden Asset Management suggest governance prioritizes existing management interests [3]. The stock is highly cyclical — a decline in US drilling activity or oil prices below $60 would severely compress both revenue and margins.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Continued Technical Services revenue growth as pressure pumping demand strengthens with potential US energy policy support and increased onshore drilling activity</w:t>
      </w:r>
    </w:p>
    <w:p>
      <w:pPr>
        <w:spacing w:before="40" w:after="40"/>
        <w:ind w:left="283"/>
      </w:pPr>
      <w:r>
        <w:rPr>
          <w:rFonts w:ascii="Calibri" w:hAnsi="Calibri"/>
          <w:b/>
          <w:color w:val="4A6B25"/>
          <w:sz w:val="20"/>
        </w:rPr>
        <w:t xml:space="preserve">2. </w:t>
      </w:r>
      <w:r>
        <w:rPr>
          <w:rFonts w:ascii="Calibri" w:hAnsi="Calibri"/>
          <w:b w:val="0"/>
          <w:color w:val="3A4A28"/>
          <w:sz w:val="20"/>
        </w:rPr>
        <w:t>Margin recovery toward historical mid-teens EBITDA margins (currently 11.8%) as pricing normalizes and dual-fuel fleet efficiency gains materialize</w:t>
      </w:r>
    </w:p>
    <w:p>
      <w:pPr>
        <w:spacing w:before="40" w:after="40"/>
        <w:ind w:left="283"/>
      </w:pPr>
      <w:r>
        <w:rPr>
          <w:rFonts w:ascii="Calibri" w:hAnsi="Calibri"/>
          <w:b/>
          <w:color w:val="4A6B25"/>
          <w:sz w:val="20"/>
        </w:rPr>
        <w:t xml:space="preserve">3. </w:t>
      </w:r>
      <w:r>
        <w:rPr>
          <w:rFonts w:ascii="Calibri" w:hAnsi="Calibri"/>
          <w:b w:val="0"/>
          <w:color w:val="3A4A28"/>
          <w:sz w:val="20"/>
        </w:rPr>
        <w:t>Conservative balance sheet (34% D/E) provides flexibility for fleet expansion or shareholder returns if commodity prices remain supportive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Profit margin of 1.1% and payout ratio of 107% are unsustainable — further earnings deterioration would force a dividend cut and could trigger equity dilution</w:t>
      </w:r>
    </w:p>
    <w:p>
      <w:pPr>
        <w:spacing w:before="40" w:after="40"/>
        <w:ind w:left="283"/>
      </w:pPr>
      <w:r>
        <w:rPr>
          <w:rFonts w:ascii="Calibri" w:hAnsi="Calibri"/>
          <w:b/>
          <w:color w:val="4A6B25"/>
          <w:sz w:val="20"/>
        </w:rPr>
        <w:t xml:space="preserve">2. </w:t>
      </w:r>
      <w:r>
        <w:rPr>
          <w:rFonts w:ascii="Calibri" w:hAnsi="Calibri"/>
          <w:b w:val="0"/>
          <w:color w:val="3A4A28"/>
          <w:sz w:val="20"/>
        </w:rPr>
        <w:t>Oilfield services is deeply cyclical; a decline in US oil prices below $60 or OPEC+ production increases would compress both demand and pricing for pressure pumping services</w:t>
      </w:r>
    </w:p>
    <w:p>
      <w:pPr>
        <w:spacing w:before="40" w:after="40"/>
        <w:ind w:left="283"/>
      </w:pPr>
      <w:r>
        <w:rPr>
          <w:rFonts w:ascii="Calibri" w:hAnsi="Calibri"/>
          <w:b/>
          <w:color w:val="4A6B25"/>
          <w:sz w:val="20"/>
        </w:rPr>
        <w:t xml:space="preserve">3. </w:t>
      </w:r>
      <w:r>
        <w:rPr>
          <w:rFonts w:ascii="Calibri" w:hAnsi="Calibri"/>
          <w:b w:val="0"/>
          <w:color w:val="3A4A28"/>
          <w:sz w:val="20"/>
        </w:rPr>
        <w:t>Chairman insider selling of $101K in January 2026 and decade-long resistance to ESG disclosure signal governance prioritizing insider interests over long-term stakeholder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RPC's oilfield services business is structurally immune to AI disruption. Pressure pumping, hydraulic fracturing, coiled tubing, and well control operations require heavy physical equipment, specialized crews, and on-site execution in remote drilling locations [1]. AI cannot substitute for the deployment of fracturing fleets, the physical pumping of proppant and fluid into wells, or the hands-on maintenance of downhole tools. Regulatory requirements (environmental permits, safety certifications, BOP testing) and the capital intensity of equipment fleets create additional barriers. AI may actually increase demand for oilfield services by enabling E&amp;P companies to identify more productive drilling locations through seismic data analysis. The only minor AI exposure is in back-office operations and pricing optimization where competitors could gain efficiency advantages. AI Opportunity (0/1): No evidence of AI-specific revenue generation. RPC has not disclosed AI product offerings, AI-driven services, or quantifiable AI revenue contributions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45</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RPC, Inc. Q1 2026 Earnings Release and Financial Results — PR Newswire, SEC 8-K Filing, May 2026</w:t>
      </w:r>
    </w:p>
    <w:p>
      <w:pPr>
        <w:spacing w:before="20" w:after="20"/>
        <w:ind w:left="170"/>
      </w:pPr>
      <w:r>
        <w:rPr>
          <w:rFonts w:ascii="Calibri" w:hAnsi="Calibri"/>
          <w:b/>
          <w:color w:val="4A6B25"/>
          <w:sz w:val="15"/>
        </w:rPr>
        <w:t xml:space="preserve">2. </w:t>
      </w:r>
      <w:r>
        <w:rPr>
          <w:rFonts w:ascii="Calibri" w:hAnsi="Calibri"/>
          <w:b w:val="0"/>
          <w:color w:val="3A4A28"/>
          <w:sz w:val="17"/>
        </w:rPr>
        <w:t>RPC Inc. Company Profile, Glassdoor Reviews, and Leadership — Glassdoor, ZoomInfo, 2025-2026</w:t>
      </w:r>
    </w:p>
    <w:p>
      <w:pPr>
        <w:spacing w:before="20" w:after="20"/>
        <w:ind w:left="170"/>
      </w:pPr>
      <w:r>
        <w:rPr>
          <w:rFonts w:ascii="Calibri" w:hAnsi="Calibri"/>
          <w:b/>
          <w:color w:val="4A6B25"/>
          <w:sz w:val="15"/>
        </w:rPr>
        <w:t xml:space="preserve">3. </w:t>
      </w:r>
      <w:r>
        <w:rPr>
          <w:rFonts w:ascii="Calibri" w:hAnsi="Calibri"/>
          <w:b w:val="0"/>
          <w:color w:val="3A4A28"/>
          <w:sz w:val="17"/>
        </w:rPr>
        <w:t>RPC Inc. ESG Disclosure and Shareholder Proposals — SEC DEF 14A Filings, CSRHub, 2014-2026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GuruFocus, Fintel — RES Key Statistics, Insider Activity,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