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REXR</w:t>
      </w:r>
      <w:r>
        <w:rPr>
          <w:rFonts w:ascii="Calibri" w:hAnsi="Calibri"/>
          <w:b/>
          <w:color w:val="1A2010"/>
          <w:sz w:val="40"/>
        </w:rPr>
        <w:t xml:space="preserve">  Rexford Industrial Realty, Inc.</w:t>
      </w:r>
    </w:p>
    <w:p>
      <w:pPr>
        <w:spacing w:after="120"/>
      </w:pPr>
      <w:r>
        <w:rPr>
          <w:rFonts w:ascii="Calibri" w:hAnsi="Calibri"/>
          <w:b/>
          <w:color w:val="6E8450"/>
          <w:sz w:val="18"/>
        </w:rPr>
        <w:t>DIVIDEND SLEEVE · 2026-07-12 · Inspire: 66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Industrial · NYSE · United States</w:t>
      </w:r>
    </w:p>
    <w:p>
      <w:pPr>
        <w:spacing w:after="80"/>
      </w:pPr>
      <w:r>
        <w:rPr>
          <w:rFonts w:ascii="Calibri" w:hAnsi="Calibri"/>
          <w:b w:val="0"/>
          <w:color w:val="3A4A28"/>
          <w:sz w:val="20"/>
        </w:rPr>
        <w:t>Rexford Industrial Realty is a self-administered and self-managed REIT focused exclusively on owning and operating industrial properties in Southern California infill markets. The company owns 414 properties comprising approximately 50.4 million rentable square feet. Rexford specializes in repositioning vintage, functionally-inefficient buildings into high-value, modern industrial assets, leveraging the permanent supply constraints of the infill Southern California market.</w:t>
      </w:r>
    </w:p>
    <w:p>
      <w:r>
        <w:rPr>
          <w:rFonts w:ascii="Calibri" w:hAnsi="Calibri"/>
          <w:b/>
          <w:color w:val="6E8450"/>
          <w:sz w:val="18"/>
        </w:rPr>
        <w:t>350 Employees · https://www.rexfordindustrial.com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Rexford has steadily expanded from IPO in 2013 to 414 properties and $1B+ annual revenue through disciplined acquisition and repositioning in SoCal infill markets — a successful strategy but not a business model transformation or new product category [1][6]. AI Deployment (0/2): No specific AI deployment or AI-driven products identified; Rexford operates a traditional REIT business model focused on physical real estate operations. Market Share (2/2): Rexford is the only pure-play Southern California industrial REIT and dominates its niche — Q1 2026 saw 4.1 million square feet of leases executed, a 70% increase from Q1 2025, demonstrating accelerating market share leadership in a supply-constrained geography [1]. Product Pipeline (1/2): Continuous pipeline of acquisition and repositioning opportunities in SoCal infill markets with strong leasing momentum, but no specific named next-gen products with revenue visibility beyond standard REIT operations [1]. R&amp;D Intensity (0/1): Not applicable — REITs do not invest in traditional R&amp;D; value creation comes from capital deployment and property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Rexford's purpose centers on creating value through SoCal industrial infill repositioning, generating community benefits through job creation, safety, and local tax revenue. Clear and connected to community impact, but fundamentally a real estate investment strategy rather than a transcendent cause [4]. Community Impact (1/2): ESGi report documents community transformation through repositioning vintage properties — enabling local jobs growth, community safety and welfare, and increased tax revenue. Recognized as S&amp;P Global Sustainability Yearbook Member, GRESB Sector Leader, and Platinum Green Lease Leader [4]. Employee Retention (1/2): Glassdoor reviews show 78% of employees would recommend working at Rexford, with praise for 'skilled and talented team members truly invested in the company's success' and leadership that 'takes time to set a good culture,' though some note resource constraints as the company scales [3]. Insider Buying (0/2): No specific data on net insider buying identified. CEO succession to Laura Clark (promoted from COO/CFO) in early 2026 represents an internal promotion but not a capital commitment signal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dividend-stock metrics. Strong balance sheet with D/E of 39.34% well below the 70% target [2]. Revenue of $1.003B in 2025 (up 7.13% YoY) with a 5-year CAGR of approximately 22% (driven by acquisitions) and profit margin of 22% [6][2]. Forward P/E of 31.80 reflects REIT premium valuation. Weakness in ROE at 2.70% (typical for asset-heavy REITs but well below 15% target) and earnings-based payout ratio exceeding 100% (structural for REITs required to distribute 90%+ of taxable income). Compensating strengths in 13 consecutive years of dividend payments since 2013 IPO and consistent annual dividend growth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Rexford is a well-run REIT with strong execution, but its strategic focus is fundamentally on generating financial returns from real estate investment rather than advancing a cause that transcends quarterly performance. The SoCal industrial niche is a brilliant competitive strategy, not a Just Cause in the Sinek sense. Leadership transitions smoothly (Clark succession) and culture is adequate, but the company does not exhibit the hallmarks of infinite thinking — it optimizes within a defined game rather than playing to change the rules.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Rexford's purpose centers on 'creating value through SoCal industrial infill' — a clear and effective strategy but not a Just Cause that inspires sacrifice or describes a future state that does not yet exist [4]. The ESG report language about community transformation and sustainability is genuine but secondary to the financial investment thesis. Sinek would see a well-managed finite game player with a strong competitive strategy, not an infinite game company with a cause that transcends quarterly FFO targets.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shows 78% of employees would recommend the company, with praise for leadership's emphasis on culture and talented team members 'truly invested in the company's success' [3]. However, some reviews note 'poor management and leadership at the helm' and that the company 'runs like a startup with little resources yet is now a public company,' suggesting trust varies across the organization. CEO succession from co-founders to Laura Clark was planned and smooth, indicating organizational stability [5].</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 worthy rival mindset. As the only pure-play SoCal industrial REIT, Rexford's competitive narrative focuses on its unique positioning rather than learning from rivals. Management commentary emphasizes Rexford's differentiated advantages (infill location, supply constraints) rather than acknowledging competitors' strengths as motivation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Rexford has maintained the exact same strategy — SoCal industrial infill — since its 2013 IPO. This consistency has been rewarded by the market, but the company has never faced a situation requiring transformative reinvention. The single-geography, single-property-type focus creates concentration risk that has not been tested by a scenario requiring dramatic strategic change [6].</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Rexford maintained its investment and acquisition strategy through the severe interest rate headwinds of 2023-2025, when rising rates compressed REIT valuations and made acquisitions more expensive. Continuing to invest when the stock fell from $60+ to $33 shows some willingness to prioritize long-term positioning over short-term stock performance. However, this reflects standard REIT capital recycling rather than a bold, identity-defining bet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Rexford Industrial is the only pure-play Southern California industrial REIT, owning 414 properties with 50.4M sq ft in a permanently supply-constrained geography where new industrial development is virtually impossible due to zoning and land scarcity [1]. Q1 2026 showed accelerating leasing momentum with 4.1M sq ft executed (up 70% YoY), and management raised full-year 2026 Core FFO guidance to $2.37-$2.42 per share [1]. The 5.15% dividend yield provides meaningful current income supported by 13 consecutive years of payments and consistent annual increases. Revenue grew from $452M in 2021 to $1.003B in 2025 (~22% CAGR), and the ESGi credentials (GRESB Sector Leader, Platinum Green Lease Leader) add governance quality [4][6].</w:t>
      </w:r>
    </w:p>
    <w:p>
      <w:pPr>
        <w:spacing w:after="120"/>
      </w:pPr>
      <w:r>
        <w:rPr>
          <w:rFonts w:ascii="Calibri" w:hAnsi="Calibri"/>
          <w:b w:val="0"/>
          <w:color w:val="3A4A28"/>
          <w:sz w:val="20"/>
        </w:rPr>
        <w:t>The bear case centers on valuation and structural REIT challenges. At 31.8x forward earnings and PEG of 18.66, the stock is expensive relative to single-digit revenue growth (7.13% in 2025) and declining Core FFO per share (-1.6% in Q1 2026) [2]. ROE of 2.70% is weak even by REIT standards, reflecting the highly levered capital structure ($3.26B debt against $56M cash) despite the optically low D/E ratio [2]. The stock has declined from $60+ to $33.50 as higher interest rates compressed capitalization rates and increased financing costs. Single-geography concentration (100% SoCal) creates seismic, regulatory, and economic risk that cannot be diversified away. The CEO succession to Laura Clark (2026) introduces some execution uncertainty during a challenging rate environment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Leasing momentum acceleration — Q1 2026 executed 4.1M sq ft of leases (up 70% YoY), suggesting pent-up demand as tenants commit in the supply-constrained SoCal market and same-property NOI growth could reaccelerate [1]</w:t>
      </w:r>
    </w:p>
    <w:p>
      <w:pPr>
        <w:spacing w:before="40" w:after="40"/>
        <w:ind w:left="283"/>
      </w:pPr>
      <w:r>
        <w:rPr>
          <w:rFonts w:ascii="Calibri" w:hAnsi="Calibri"/>
          <w:b/>
          <w:color w:val="4A6B25"/>
          <w:sz w:val="20"/>
        </w:rPr>
        <w:t xml:space="preserve">2. </w:t>
      </w:r>
      <w:r>
        <w:rPr>
          <w:rFonts w:ascii="Calibri" w:hAnsi="Calibri"/>
          <w:b w:val="0"/>
          <w:color w:val="3A4A28"/>
          <w:sz w:val="20"/>
        </w:rPr>
        <w:t>Interest rate normalization could re-rate REIT valuations and reduce Rexford's financing costs, potentially driving cap rate compression and stock price recovery from the $33 level toward the $41 analyst target [2]</w:t>
      </w:r>
    </w:p>
    <w:p>
      <w:pPr>
        <w:spacing w:before="40" w:after="40"/>
        <w:ind w:left="283"/>
      </w:pPr>
      <w:r>
        <w:rPr>
          <w:rFonts w:ascii="Calibri" w:hAnsi="Calibri"/>
          <w:b/>
          <w:color w:val="4A6B25"/>
          <w:sz w:val="20"/>
        </w:rPr>
        <w:t xml:space="preserve">3. </w:t>
      </w:r>
      <w:r>
        <w:rPr>
          <w:rFonts w:ascii="Calibri" w:hAnsi="Calibri"/>
          <w:b w:val="0"/>
          <w:color w:val="3A4A28"/>
          <w:sz w:val="20"/>
        </w:rPr>
        <w:t>Permanent SoCal supply constraints mean e-commerce growth, nearshoring trends, and AI data center demand directly increase the scarcity value of Rexford's irreplaceable portfolio over time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Single-geography concentration in Southern California creates unmitigable exposure to regional economic downturns, seismic events, state regulatory changes, or structural shifts in West Coast logistics demand [6]</w:t>
      </w:r>
    </w:p>
    <w:p>
      <w:pPr>
        <w:spacing w:before="40" w:after="40"/>
        <w:ind w:left="283"/>
      </w:pPr>
      <w:r>
        <w:rPr>
          <w:rFonts w:ascii="Calibri" w:hAnsi="Calibri"/>
          <w:b/>
          <w:color w:val="4A6B25"/>
          <w:sz w:val="20"/>
        </w:rPr>
        <w:t xml:space="preserve">2. </w:t>
      </w:r>
      <w:r>
        <w:rPr>
          <w:rFonts w:ascii="Calibri" w:hAnsi="Calibri"/>
          <w:b w:val="0"/>
          <w:color w:val="3A4A28"/>
          <w:sz w:val="20"/>
        </w:rPr>
        <w:t>Core FFO per share declined 1.6% in Q1 2026 YoY despite revenue growth, reflecting higher interest costs and dilution from equity issuance — if this trend continues, the 5.15% yield may not be supported by earnings growth [1]</w:t>
      </w:r>
    </w:p>
    <w:p>
      <w:pPr>
        <w:spacing w:before="40" w:after="40"/>
        <w:ind w:left="283"/>
      </w:pPr>
      <w:r>
        <w:rPr>
          <w:rFonts w:ascii="Calibri" w:hAnsi="Calibri"/>
          <w:b/>
          <w:color w:val="4A6B25"/>
          <w:sz w:val="20"/>
        </w:rPr>
        <w:t xml:space="preserve">3. </w:t>
      </w:r>
      <w:r>
        <w:rPr>
          <w:rFonts w:ascii="Calibri" w:hAnsi="Calibri"/>
          <w:b w:val="0"/>
          <w:color w:val="3A4A28"/>
          <w:sz w:val="20"/>
        </w:rPr>
        <w:t>PEG ratio of 18.66 and forward P/E of 31.80 imply the market expects growth that may not materialize in a higher-rate environment, creating valuation risk if cap rates fail to compress or leasing momentum stalls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Industrial real estate ownership in supply-constrained Southern California infill markets is structurally immune to AI disruption. AI cannot replicate physical warehouse space, and the permanent scarcity of SoCal industrial land creates irreplaceable value. Government regulation, zoning, and permitting processes that take years further insulate the business from technology-driven disruption [1]. The core competency — acquiring, repositioning, and leasing physical buildings — requires human judgment, local market expertise, and capital deployment that AI cannot substitute. Moreover, AI-driven growth in e-commerce, data centers, and logistics may actually increase demand for industrial space in Rexford's markets. AI Opportunity (0/1): No meaningful AI-related revenue. Rexford's revenue comes entirely from physical property leasing and does not include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Rexford Industrial Q1 2026 Financial Results Press Release and Guidance Update — PRNewswire, April 23,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REXR Key Statistics, Valuation Metrics, and Dividend Data,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Glassdoor — Rexford Industrial Employee Reviews (78% recommend), 2024-2026</w:t>
      </w:r>
    </w:p>
    <w:p>
      <w:pPr>
        <w:spacing w:before="20" w:after="20"/>
        <w:ind w:left="170"/>
      </w:pPr>
      <w:r>
        <w:rPr>
          <w:rFonts w:ascii="Calibri" w:hAnsi="Calibri"/>
          <w:b/>
          <w:color w:val="4A6B25"/>
          <w:sz w:val="15"/>
        </w:rPr>
        <w:t xml:space="preserve">4. </w:t>
      </w:r>
      <w:r>
        <w:rPr>
          <w:rFonts w:ascii="Calibri" w:hAnsi="Calibri"/>
          <w:b w:val="0"/>
          <w:color w:val="3A4A28"/>
          <w:sz w:val="17"/>
        </w:rPr>
        <w:t>Rexford Industrial ESGi Impact Report — PRNewswire, 2025; GRESB Sector Leader, Platinum Green Lease Leader recognition</w:t>
      </w:r>
    </w:p>
    <w:p>
      <w:pPr>
        <w:spacing w:before="20" w:after="20"/>
        <w:ind w:left="170"/>
      </w:pPr>
      <w:r>
        <w:rPr>
          <w:rFonts w:ascii="Calibri" w:hAnsi="Calibri"/>
          <w:b/>
          <w:color w:val="4A6B25"/>
          <w:sz w:val="15"/>
        </w:rPr>
        <w:t xml:space="preserve">5. </w:t>
      </w:r>
      <w:r>
        <w:rPr>
          <w:rFonts w:ascii="Calibri" w:hAnsi="Calibri"/>
          <w:b w:val="0"/>
          <w:color w:val="3A4A28"/>
          <w:sz w:val="17"/>
        </w:rPr>
        <w:t>Rexford Industrial CEO Succession Plan — IR Press Release (Laura Clark appointed CEO), 2025-2026</w:t>
      </w:r>
    </w:p>
    <w:p>
      <w:pPr>
        <w:spacing w:before="20" w:after="20"/>
        <w:ind w:left="170"/>
      </w:pPr>
      <w:r>
        <w:rPr>
          <w:rFonts w:ascii="Calibri" w:hAnsi="Calibri"/>
          <w:b/>
          <w:color w:val="4A6B25"/>
          <w:sz w:val="15"/>
        </w:rPr>
        <w:t xml:space="preserve">6. </w:t>
      </w:r>
      <w:r>
        <w:rPr>
          <w:rFonts w:ascii="Calibri" w:hAnsi="Calibri"/>
          <w:b w:val="0"/>
          <w:color w:val="3A4A28"/>
          <w:sz w:val="17"/>
        </w:rPr>
        <w:t>MacroTrends — REXR Revenue History 2012-2026 ($452M 2021 to $1.003B 2025),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