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REYN</w:t>
      </w:r>
      <w:r>
        <w:rPr>
          <w:rFonts w:ascii="Calibri" w:hAnsi="Calibri"/>
          <w:b/>
          <w:color w:val="1A2010"/>
          <w:sz w:val="40"/>
        </w:rPr>
        <w:t xml:space="preserve">  Reynolds Consumer Products Inc.</w:t>
      </w:r>
    </w:p>
    <w:p>
      <w:pPr>
        <w:spacing w:after="120"/>
      </w:pPr>
      <w:r>
        <w:rPr>
          <w:rFonts w:ascii="Calibri" w:hAnsi="Calibri"/>
          <w:b/>
          <w:color w:val="6E8450"/>
          <w:sz w:val="18"/>
        </w:rPr>
        <w:t>DIVIDEND SLEEVE · 2026-08-09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Household Products · NASDAQ · United States</w:t>
      </w:r>
    </w:p>
    <w:p>
      <w:pPr>
        <w:spacing w:after="80"/>
      </w:pPr>
      <w:r>
        <w:rPr>
          <w:rFonts w:ascii="Calibri" w:hAnsi="Calibri"/>
          <w:b w:val="0"/>
          <w:color w:val="3A4A28"/>
          <w:sz w:val="20"/>
        </w:rPr>
        <w:t>Reynolds Consumer Products Inc. produces and sells household products in the United States and internationally through four segments: Reynolds Cooking &amp; Kitchen Essentials (Reynolds Wrap aluminum foil, parchment paper, oven bags), Hefty Waste &amp; Clean-Up (trash bags), Hefty Home &amp; Tableware (plates, cups, cutlery), and Hefty Storage &amp; Organization (slider bags, food storage). Formerly a subsidiary of Reynolds Group Holdings, the company went public in January 2020. Market cap approximately $5.5B.</w:t>
      </w:r>
    </w:p>
    <w:p>
      <w:r>
        <w:rPr>
          <w:rFonts w:ascii="Calibri" w:hAnsi="Calibri"/>
          <w:b/>
          <w:color w:val="6E8450"/>
          <w:sz w:val="18"/>
        </w:rPr>
        <w:t>https://www.reynoldsconsumerproducts.com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Reynolds has executed incremental product extensions across its four segments — Reynolds Cooking &amp; Kitchen Essentials revenue grew 21% in Q1 2026 and 6% in Q2 driven primarily by pricing actions (+19 points in Cooking segment), while Hefty Storage &amp; Organization grew 5% on +8% retail volume [1][2]. However, no transformative product launches or business model pivots have occurred in the past five years; growth is driven by pricing power on legacy brands rather than innovation. AI Deployment (0/2): No AI-powered products or AI-driven operational efficiencies were reported. The company cites 'manufacturing efficiency gains' as a Q2 2026 margin driver but does not attribute these to AI deployment [1]. Market Share (1/2): Reynolds Wrap and Hefty are iconic American household brands with strong category positions — Reynolds Wrap leads in aluminum foil and Hefty is a top-tier brand in waste bags and food storage. However, no specific market share data or share gain metrics were identified in recent filings [1]. Product Pipeline (0/2): No next-generation products with specific launch dates or revenue visibility were announced. The company's strategy focuses on margin optimization and pricing rather than new product development. R&amp;D Intensity (0/1): No R&amp;D spending data available; consumer staples companies typically invest minimally in R&amp;D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Reynolds articulates a sustainability mission to 'develop innovative products and solutions that simplify daily life and protect the environment, enable team members to thrive, and engage communities to be more prosperous, healthy and sustainable' [3]. This is a clear statement that identifies what the company does, for whom, and connects to environmental and community purpose. However, it is not distinctive — dozens of consumer staples companies articulate nearly identical sustainability missions. Community Impact (0/2): Reynolds has established a cross-functional ESG Committee and committed to FSC/SFI/PEFC-certified paper sourcing and deforestation-free supply chains [3]. However, no specific charitable programs, foundation activities, or community investment dollar amounts were identified. Employee Retention (0/2): Glassdoor reviews indicate a 'Safety First' culture with employee physical safety as the top organizational priority [4]. However, reviews also note that 'the CEO only focuses on injury at the plant level and never discusses the future of the company during Town Halls' and 'no performance results shared across the company,' suggesting limited transparency rather than mission-driven retention [4]. Insider Buying (0/2): No evidence of meaningful insider buying or selling was identified in recent public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$944M revenue (+1% YoY), $89M net income (+22% YoY), and adjusted EBITDA of $171M on improving gross margins through manufacturing efficiency [1]. ROE of 16.3% exceeds the 15% target, and Forward P/E of 13.8 is well below the 20 target, reflecting an undemanding valuation for a stable cash-generating business [5]. D/E of 82% is slightly above the 70% target, with net debt of $1,464M at 2.1x trailing EBITDA — at the lower end of management's target leverage range. Operating cash flow of $173M in H1 2026 funds $101M capex, $50M voluntary debt repayment, and $96M dividends. Weakness in profit margin (8.8% vs 20% target) reflects the low-margin nature of consumer staples manufacturing, and revenue growth (guided +1-3%) falls well below the 10% target. Payout ratio of 58.6% is above the 40% ideal. Dividend growth metrics unavailable and excluded from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Reynolds Consumer Products operates with a predominantly finite mindset characteristic of a mature consumer staples company optimized for cash generation and margin management. The company's strategic communications emphasize pricing power, manufacturing efficiency, and 'delivering value' — operationally excellent but lacking the aspirational purpose that Sinek identifies as infinite game thinking. Some positive signals exist in increased capital investment and voluntary debt reduction, but no Just Cause, transformative flexibility, or competitive learning was evident.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Reynolds' sustainability mission exists but reads as interchangeable with any consumer products company — simplify daily life, protect the environment, enable team members to thrive [3]. Leadership does not reference this mission in strategic decisions; quarterly communications focus on pricing actions, volume trends, and margin management rather than advancing a larger purpose [1]. The mission statement is marketing-adjacent rather than strategically foundational. Sinek would categorize this as a cause that exists but is shallow.</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Reynolds maintains a 'Safety First' culture that prioritizes employee physical safety as the top organizational value, which demonstrates care for frontline workers [4]. However, Glassdoor reviews indicate leadership communicates primarily about plant-level safety while 'never discussing the future of the company during Town Halls' and sharing 'no performance results across the company' [4]. This limited transparency suggests adequate organizational trust but falls short of the psychological safety and empowerment that Sinek's Circle of Safety requires.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Reynolds acknowledging competitors' strengths or using competitive pressure as motivation to improve. The company's strategic communications focus on its own brand strength, pricing actions, and operational efficiency without referencing how private-label competitors, store brands, or category rivals have influenced its strategy. The competitive framing is about defending market position, not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Reynolds has maintained essentially the same business model since its IPO in 2020 — manufacturing and selling Reynolds Wrap, Hefty bags, and related household products through the same retail channels [1]. No evidence of strategic adaptation, market pivots, or willingness to challenge the existing business model was found. The company's strength is consistency and reliability, which Sinek would view as operationally sound but strategically rigid.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Reynolds increased capital expenditure to $101M in H1 2026 (up from $79M in H1 2025) while simultaneously making $50M in voluntary principal repayments on long-term debt, demonstrating willingness to invest in manufacturing capability while deleveraging [1]. This balanced approach of increasing long-term investment alongside fiscal discipline represents at least one example of choosing capability building over maximizing short-term cash returns to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Reynolds Consumer Products is a cash-generating consumer staples franchise with iconic brands (Reynolds Wrap, Hefty) that deliver predictable revenue and expanding margins. Q2 2026 revenue of $944M (+1% YoY) with net income of $89M (+22% YoY) demonstrates pricing power and manufacturing efficiency gains [1]. Adjusted EBITDA of $302M in H1 2026 (+8% YoY), net leverage of 2.1x at the low end of the target range, $173M operating cash flow in H1, and a 4.4% dividend yield make this an attractive income vehicle for conservative investors. Forward P/E of 13.8x represents an undemanding valuation for a stable business with guidance of $1.57-$1.63 EPS for FY2026 [5].</w:t>
      </w:r>
    </w:p>
    <w:p>
      <w:pPr>
        <w:spacing w:after="120"/>
      </w:pPr>
      <w:r>
        <w:rPr>
          <w:rFonts w:ascii="Calibri" w:hAnsi="Calibri"/>
          <w:b w:val="0"/>
          <w:color w:val="3A4A28"/>
          <w:sz w:val="20"/>
        </w:rPr>
        <w:t>The bear case centers on structural limitations. Revenue growth is guided at just +1% to +3% for FY2026, and the 5-year revenue CAGR of approximately 2.8% reflects a mature business with limited organic growth potential [1]. Profit margin of 8.8% is thin for consumer products, exposing earnings to input cost volatility in aluminum, resin, and pulp. Retail volumes declined 5% in Q2 2026 (2% excluding foam exits), indicating price-led growth is eroding volume — a finite strategy that Sinek would identify as playing to win this quarter rather than building for durability [1]. The company's majority ownership by Rank Group (Graeme Hart's investment vehicle) concentrates governance risk, and the static dividend with no evidence of annual increases limits the income growth appeal despite the 4.4% current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Manufacturing efficiency programs could drive further margin expansion beyond the 22% net income growth achieved in Q2 2026, potentially pushing profit margins toward double digits</w:t>
      </w:r>
    </w:p>
    <w:p>
      <w:pPr>
        <w:spacing w:before="40" w:after="40"/>
        <w:ind w:left="283"/>
      </w:pPr>
      <w:r>
        <w:rPr>
          <w:rFonts w:ascii="Calibri" w:hAnsi="Calibri"/>
          <w:b/>
          <w:color w:val="4A6B25"/>
          <w:sz w:val="20"/>
        </w:rPr>
        <w:t xml:space="preserve">2. </w:t>
      </w:r>
      <w:r>
        <w:rPr>
          <w:rFonts w:ascii="Calibri" w:hAnsi="Calibri"/>
          <w:b w:val="0"/>
          <w:color w:val="3A4A28"/>
          <w:sz w:val="20"/>
        </w:rPr>
        <w:t>Continued deleveraging from 2.1x net debt/EBITDA could create capacity for dividend increases or share repurchases, enhancing shareholder returns beyond the current 4.4% yield</w:t>
      </w:r>
    </w:p>
    <w:p>
      <w:pPr>
        <w:spacing w:before="40" w:after="40"/>
        <w:ind w:left="283"/>
      </w:pPr>
      <w:r>
        <w:rPr>
          <w:rFonts w:ascii="Calibri" w:hAnsi="Calibri"/>
          <w:b/>
          <w:color w:val="4A6B25"/>
          <w:sz w:val="20"/>
        </w:rPr>
        <w:t xml:space="preserve">3. </w:t>
      </w:r>
      <w:r>
        <w:rPr>
          <w:rFonts w:ascii="Calibri" w:hAnsi="Calibri"/>
          <w:b w:val="0"/>
          <w:color w:val="3A4A28"/>
          <w:sz w:val="20"/>
        </w:rPr>
        <w:t>Price stability in key input costs (aluminum, resin, pulp) would preserve the pricing-driven margin gains without further volume erosion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Retail volumes declined 5% in Q2 2026 as pricing actions (+7% average across segments) drive consumers toward private-label alternatives, creating a volume/price trade-off that limits sustainable revenue growth</w:t>
      </w:r>
    </w:p>
    <w:p>
      <w:pPr>
        <w:spacing w:before="40" w:after="40"/>
        <w:ind w:left="283"/>
      </w:pPr>
      <w:r>
        <w:rPr>
          <w:rFonts w:ascii="Calibri" w:hAnsi="Calibri"/>
          <w:b/>
          <w:color w:val="4A6B25"/>
          <w:sz w:val="20"/>
        </w:rPr>
        <w:t xml:space="preserve">2. </w:t>
      </w:r>
      <w:r>
        <w:rPr>
          <w:rFonts w:ascii="Calibri" w:hAnsi="Calibri"/>
          <w:b w:val="0"/>
          <w:color w:val="3A4A28"/>
          <w:sz w:val="20"/>
        </w:rPr>
        <w:t>Input cost inflation in aluminum, resin, and pulp commodities could compress the 8.8% profit margin, as the company's consumer products have limited ability to absorb further price increases without accelerating volume losses</w:t>
      </w:r>
    </w:p>
    <w:p>
      <w:pPr>
        <w:spacing w:before="40" w:after="40"/>
        <w:ind w:left="283"/>
      </w:pPr>
      <w:r>
        <w:rPr>
          <w:rFonts w:ascii="Calibri" w:hAnsi="Calibri"/>
          <w:b/>
          <w:color w:val="4A6B25"/>
          <w:sz w:val="20"/>
        </w:rPr>
        <w:t xml:space="preserve">3. </w:t>
      </w:r>
      <w:r>
        <w:rPr>
          <w:rFonts w:ascii="Calibri" w:hAnsi="Calibri"/>
          <w:b w:val="0"/>
          <w:color w:val="3A4A28"/>
          <w:sz w:val="20"/>
        </w:rPr>
        <w:t>No evidence of dividend growth since the 2020 IPO suggests the $0.92 annual payout may remain static, making the 4.4% yield a ceiling rather than a growing income stream for dividend-oriented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Reynolds' core business — manufacturing and selling physical household products including aluminum foil, trash bags, food storage, and tableware — is structurally immune to AI disruption [1]. These are essential physical consumer goods purchased through established retail channels; AI cannot substitute for aluminum foil, trash bags, or food storage containers. Manufacturing operations require physical plant infrastructure, raw material sourcing, and logistics capabilities that AI structurally cannot displace. AI may modestly improve manufacturing efficiency and demand forecasting, but these are operational enhancements, not substitution threats. No analysts have identified AI as a risk factor for Reynolds or its consumer products categories. AI Opportunity (0/1): Reynolds generates no revenue from AI-related products or services. The company may use AI tools internally for supply chain optimization or demand planning, but no quantified AI revenue contribution has been reported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Reynolds Consumer Products Q2 2026 Earnings Release — Investor Relations, July 2026</w:t>
      </w:r>
    </w:p>
    <w:p>
      <w:pPr>
        <w:spacing w:before="20" w:after="20"/>
        <w:ind w:left="170"/>
      </w:pPr>
      <w:r>
        <w:rPr>
          <w:rFonts w:ascii="Calibri" w:hAnsi="Calibri"/>
          <w:b/>
          <w:color w:val="4A6B25"/>
          <w:sz w:val="15"/>
        </w:rPr>
        <w:t xml:space="preserve">2. </w:t>
      </w:r>
      <w:r>
        <w:rPr>
          <w:rFonts w:ascii="Calibri" w:hAnsi="Calibri"/>
          <w:b w:val="0"/>
          <w:color w:val="3A4A28"/>
          <w:sz w:val="17"/>
        </w:rPr>
        <w:t>StockTitan — REYN Q1 2026 10-Q Filing and Earnings Results, May 2026</w:t>
      </w:r>
    </w:p>
    <w:p>
      <w:pPr>
        <w:spacing w:before="20" w:after="20"/>
        <w:ind w:left="170"/>
      </w:pPr>
      <w:r>
        <w:rPr>
          <w:rFonts w:ascii="Calibri" w:hAnsi="Calibri"/>
          <w:b/>
          <w:color w:val="4A6B25"/>
          <w:sz w:val="15"/>
        </w:rPr>
        <w:t xml:space="preserve">3. </w:t>
      </w:r>
      <w:r>
        <w:rPr>
          <w:rFonts w:ascii="Calibri" w:hAnsi="Calibri"/>
          <w:b w:val="0"/>
          <w:color w:val="3A4A28"/>
          <w:sz w:val="17"/>
        </w:rPr>
        <w:t>Reynolds Consumer Products Sustainability Policy, ESG Committee, and FSC Sourcing Commitments — Investor Relations</w:t>
      </w:r>
    </w:p>
    <w:p>
      <w:pPr>
        <w:spacing w:before="20" w:after="20"/>
        <w:ind w:left="170"/>
      </w:pPr>
      <w:r>
        <w:rPr>
          <w:rFonts w:ascii="Calibri" w:hAnsi="Calibri"/>
          <w:b/>
          <w:color w:val="4A6B25"/>
          <w:sz w:val="15"/>
        </w:rPr>
        <w:t xml:space="preserve">4. </w:t>
      </w:r>
      <w:r>
        <w:rPr>
          <w:rFonts w:ascii="Calibri" w:hAnsi="Calibri"/>
          <w:b w:val="0"/>
          <w:color w:val="3A4A28"/>
          <w:sz w:val="17"/>
        </w:rPr>
        <w:t>Glassdoor — Reynolds Consumer Products Management Team Reviews,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Market Data — REYN Key Statistics, Forward P/E, and Dividend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