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RLI</w:t>
      </w:r>
      <w:r>
        <w:rPr>
          <w:rFonts w:ascii="Calibri" w:hAnsi="Calibri"/>
          <w:b/>
          <w:color w:val="1A2010"/>
          <w:sz w:val="40"/>
        </w:rPr>
        <w:t xml:space="preserve">  RLI Corp.</w:t>
      </w:r>
    </w:p>
    <w:p>
      <w:pPr>
        <w:spacing w:after="120"/>
      </w:pPr>
      <w:r>
        <w:rPr>
          <w:rFonts w:ascii="Calibri" w:hAnsi="Calibri"/>
          <w:b/>
          <w:color w:val="6E8450"/>
          <w:sz w:val="18"/>
        </w:rPr>
        <w:t>DIVIDEND SLEEVE · 2026-08-21 · Inspire: 38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Property &amp; Casualty · NYSE · United States</w:t>
      </w:r>
    </w:p>
    <w:p>
      <w:pPr>
        <w:spacing w:after="80"/>
      </w:pPr>
      <w:r>
        <w:rPr>
          <w:rFonts w:ascii="Calibri" w:hAnsi="Calibri"/>
          <w:b w:val="0"/>
          <w:color w:val="3A4A28"/>
          <w:sz w:val="20"/>
        </w:rPr>
        <w:t>RLI Corp. is a specialty property and casualty insurance holding company providing niche-focused underwriting across dozens of specialized product lines. The company operates through three segments: Casualty (commercial excess, personal umbrella, general liability, transportation), Property (commercial property, marine, Hawaii homeowners), and Surety (contract, commercial, miscellaneous surety bonds). RLI carries the highest AM Best rating of A++ (Superior), reported Q2 2026 revenue of $575.6M (+15.2% YoY) with a combined ratio of 85.6, and has increased dividends for 49+ consecutive years.</w:t>
      </w:r>
    </w:p>
    <w:p>
      <w:r>
        <w:rPr>
          <w:rFonts w:ascii="Calibri" w:hAnsi="Calibri"/>
          <w:b/>
          <w:color w:val="6E8450"/>
          <w:sz w:val="18"/>
        </w:rPr>
        <w:t>1,193 Employees · https://www.rlicorp.com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RLI has expanded into adjacent specialty lines — personal umbrella premiums grew 26% and transportation 19% in Q2 2026 — but these are incremental extensions of an established specialty model, not transformative pivots [1]. The core casualty-property-surety structure has remained unchanged for decades, prioritizing underwriting discipline over business model innovation. AI Deployment (1/2): RLI partnered with Kettle to leverage deep learning models for catastrophic risk modeling and promoted Gayathri Mariappan to VP of Information Technology with a mandate to integrate AI, cloud, and digital tools into operations [2]. Management described AI as 'not a headline but a tool,' indicating practical internal deployment without customer-facing AI products or quantified savings. Market Share (1/2): RLI holds strong positions in specialty niches — AM Best upgraded RLI to its highest A++ (Superior) rating in February 2026, a distinction held by fewer than 15 P&amp;C insurers globally [3]. However, RLI is not a market share leader in any broad insurance category, with $2.0B revenue modest relative to the multi-trillion-dollar P&amp;C market. Product Pipeline (0/2): No specific next-generation products or platforms announced with timelines. Growth is opportunistic niche expansion rather than planned pipeline development. R&amp;D Intensity (0/1): Insurance companies do not report traditional R&amp;D spending; RLI's technology investment is embedded in operating expenses.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RLI's purpose — 'Protect people and organizations from life's uncertainties to help them explore, create, build and thrive' — is specific and thoughtful, connecting insurance protection to human flourishing [2]. The 'Different Works' philosophy, featured in MIT Sloan Management Review, holds that empowering underwriters as entrepreneurs, pushing transparency, and normalizing learning from failure creates a fundamentally better insurance company. CEO Kliethermes' 'Markets change; our principles don't' signals purpose-driven strategy through market cycles. The 9% employee ownership through ESOP validates the mission structurally. Community Impact (0/2): No specific charitable programs, foundation activity, or distinctive community investment with dollar amounts identified beyond standard corporate philanthropy. Employee Retention (2/2): RLI earned Glassdoor's Employees' Choice Award for Best Places to Work, ranked #27 among all large U.S. companies and the only insurance company recognized [3]. Glassdoor ratings of 4.9/5 for culture and values, 4.7/5 for work-life balance, and 97% employee recommendation rate indicate exceptional retention driven by the ownership culture. Employees describe 'no egos, everyone works together' and 'entrepreneurial ownership with supportive leadership.' Insider Buying (2/2): Nine insider buys with zero sells over the past 12 months — CEO Kliethermes purchased 2,000 shares, Director Duclos acquired 2,500 shares for $130,000, and Director Kellogg bought 3,000 shares in May-June 2026, representing broad-based leadership conviction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 metrics. RLI demonstrates exceptional financial discipline — D/E of 20% is a fortress balance sheet rare in P&amp;C insurance, while 25% ROE reflects best-in-class capital deployment [5]. Revenue grew 15.2% YoY in Q2 2026 driven by casualty premium growth (+11%) and 17% investment income expansion, with profit margin of 22.22% exceeding the 20% target [1]. Forward P/E of 22.08x is the only slight drag, marginally above the 20x target. Book value per share grew 11% through H1 2026 including dividends. On dividend metrics, 49+ consecutive years of dividend increases with a 5-year CAGR of 5.92% and a total payout ratio of ~61% demonstrate consistent shareholder returns with an effective yield of ~5% including regular and special dividends [6]. Liquidity cleared: ~500K avg daily volume x $64.28 = ~$32M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RLI is one of the strongest infinite-game players in this screen, with a deeply embedded 'Different Works' culture validated by MIT Sloan Management Review. The ownership culture (9% ESOP), decentralized underwriting authority, learning-from-failure processes, and willingness to sacrifice premium growth for underwriting discipline reflect an organization built to endure. CEO Kliethermes' 'Markets change; our principles don't' encapsulates a philosophy validated by 49+ years of consecutive dividend increases through every insurance market cycle. In Q2 2026, management reduced property premiums 6% and surety 6% rather than chase volume in a softening market — choosing discipline over growth [1].</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RLI's 'Different Works' philosophy is a genuine Just Cause validated by decades of consistent execution across multiple CEO transitions [2]. The belief that empowering people as owners, pushing transparency, and learning from failure creates a fundamentally better insurance company is not marketing — it IS the competitive advantage. MIT Sloan Management Review featured this culture as a model for conservative industries. Products run as stand-alone businesses with autonomous leadership, compensation tied to individual results, and a 9% ESOP ensuring alignment. The cause has survived leadership transitions, catastrophe years, and competitive cycles for over 30 years, consistently driving the decision to walk away from mispriced risk rather than chase growth.</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RLI's organizational trust is exceptional. Glassdoor ratings of 4.9/5 for culture and values with 97% of employees recommending the company — the only insurer ranked in the top 100 Best Places to Work (#27) [3]. Underwriters operate product lines as stand-alone businesses with high autonomy and compensation tied to their results [2]. The 'learning from failure' process reviews losses in a blame-free environment, exactly what Sinek describes as a Circle of Safety. The 9% ESOP creates literal ownership. Extensive development programs (underwriter development, career mentoring, Building Better Leaders, tuition reimbursement) invest in people over the long term. The 1,193-employee organization maintains AM Best A++ — requiring consistent, high-quality execution from empowered teams over decades.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RLI's competitive posture focuses on self-improvement rather than rival destruction. Management frames competition in terms of maintaining underwriting discipline — 'Markets change; our principles don't' — rather than beating specific competitors [2]. The decision to reduce property premiums 6% when the market softened, rather than matching competitors' aggressive pricing, reflects a company competing against its own standards rather than playing a zero-sum game [1]. RLI acknowledges competitor capabilities implicitly by partnering with InsurTech firm Kettle rather than building all capabilities internally.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RLI has evolved from a regional surety insurer to a nationally diversified specialty platform spanning casualty, property, and surety with personal umbrella growing 26% and transportation 19% in Q2 2026 [1]. The company regularly enters new specialty niches and exits unprofitable ones — demonstrating strategic adaptation within its domain. However, the core business model (specialty P&amp;C underwriting) has never fundamentally changed. RLI has not faced an existential test requiring transformative reinvention, and the conservative culture may make radical pivots difficult.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RLI demonstrates disciplined courage by accepting premium contraction when pricing deteriorates — property down 6% and surety down 6% in Q2 2026 by exiting unprofitable accounts and maintaining pricing discipline in a softening E&amp;S market [1]. The company returned $200M+ to shareholders through regular dividends, a $2.00 special dividend, and ~235,000 share repurchases rather than empire-building [2]. Forty-nine consecutive years of dividend increases through every insurance cycle reflects generational discipline. However, this is courage within a proven model — maintaining pricing standards is admirable but not the same as making costly transformative bets that sacrifice near-term earnings for future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RLI at 13.1x trailing earnings is a best-in-class specialty insurer delivering accelerating growth — Q2 2026 revenue of $575.6M (+15.2% YoY) with a combined ratio of 85.6, 25% ROE, and D/E of 20% demonstrate an underwriting machine with a fortress balance sheet and AM Best's highest A++ rating [1][5]. Book value per share grew 11% through H1 2026, and $4.9B in total investments generates $46M quarterly in investment income (+17% YoY) [2]. The 49+ consecutive years of dividend increases with ~5% effective yield (including specials) provides rare compounding visibility in insurance. The 'Different Works' culture, featured in MIT Sloan Management Review, is validated by Glassdoor's #27 Best Places to Work ranking (97% recommendation, 4.9/5 culture) and unanimous insider buying — nine buys, zero sells including CEO and multiple directors in May-June 2026 [3][4]. The Inspire Insight score of 38 (ALIGNED) with zero negative attributions confirms values-aligned operations.</w:t>
      </w:r>
    </w:p>
    <w:p>
      <w:pPr>
        <w:spacing w:after="120"/>
      </w:pPr>
      <w:r>
        <w:rPr>
          <w:rFonts w:ascii="Calibri" w:hAnsi="Calibri"/>
          <w:b w:val="0"/>
          <w:color w:val="3A4A28"/>
          <w:sz w:val="20"/>
        </w:rPr>
        <w:t>The bear case centers on growth sustainability, valuation expansion, and dividend composition. Forward P/E of 22.08x prices in continued premium growth, but net premiums earned grew only 3.8% in Q2 — the 15.2% total revenue growth was amplified by lumpy investment gains that may not recur [1]. Property premiums declined 6% and surety declined 6% as management maintained pricing discipline in a softening E&amp;S market, suggesting organic growth may decelerate if competitive pricing persists. The payout ratio of ~61% including special dividends limits reinvestment capacity, and special dividends — which constitute the majority of the ~5% effective yield — are variable and could decline in a catastrophe-heavy year. RLI's 1,193-employee operation limits scale advantages versus larger diversified insurers, and specialty niches face concentration risk if any single line experiences adverse loss development. Innovation score of 3/10 reflects a company that excels at executing a proven model rather than building new capabilities — AI-enhanced competitors like Kinsale Capital could gradually narrow the specialty underwriting expertise gap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Casualty segment premium growth (+11% in Q2 with personal umbrella +26% and transportation +19%) provides a durable organic growth engine as RLI expands into underpenetrated specialty lines with favorable loss experience [1]</w:t>
      </w:r>
    </w:p>
    <w:p>
      <w:pPr>
        <w:spacing w:before="40" w:after="40"/>
        <w:ind w:left="283"/>
      </w:pPr>
      <w:r>
        <w:rPr>
          <w:rFonts w:ascii="Calibri" w:hAnsi="Calibri"/>
          <w:b/>
          <w:color w:val="4A6B25"/>
          <w:sz w:val="20"/>
        </w:rPr>
        <w:t xml:space="preserve">2. </w:t>
      </w:r>
      <w:r>
        <w:rPr>
          <w:rFonts w:ascii="Calibri" w:hAnsi="Calibri"/>
          <w:b w:val="0"/>
          <w:color w:val="3A4A28"/>
          <w:sz w:val="20"/>
        </w:rPr>
        <w:t>AM Best A++ upgrade (February 2026) enhances competitive positioning for large-account specialty business, potentially unlocking new broker relationships and premium volume in higher-limit programs [3]</w:t>
      </w:r>
    </w:p>
    <w:p>
      <w:pPr>
        <w:spacing w:before="40" w:after="40"/>
        <w:ind w:left="283"/>
      </w:pPr>
      <w:r>
        <w:rPr>
          <w:rFonts w:ascii="Calibri" w:hAnsi="Calibri"/>
          <w:b/>
          <w:color w:val="4A6B25"/>
          <w:sz w:val="20"/>
        </w:rPr>
        <w:t xml:space="preserve">3. </w:t>
      </w:r>
      <w:r>
        <w:rPr>
          <w:rFonts w:ascii="Calibri" w:hAnsi="Calibri"/>
          <w:b w:val="0"/>
          <w:color w:val="3A4A28"/>
          <w:sz w:val="20"/>
        </w:rPr>
        <w:t>Unanimous insider buying (9 buys, 0 sells) during stock weakness signals leadership conviction that current valuation significantly underestimates the company's long-term earnings power and cultural durability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Net premiums earned grew only 3.8% in Q2 despite 15.2% total revenue growth — the gap reflects heavy reliance on lumpy investment gains that may not recur, masking slower core underwriting growth in a competitive market [1]</w:t>
      </w:r>
    </w:p>
    <w:p>
      <w:pPr>
        <w:spacing w:before="40" w:after="40"/>
        <w:ind w:left="283"/>
      </w:pPr>
      <w:r>
        <w:rPr>
          <w:rFonts w:ascii="Calibri" w:hAnsi="Calibri"/>
          <w:b/>
          <w:color w:val="4A6B25"/>
          <w:sz w:val="20"/>
        </w:rPr>
        <w:t xml:space="preserve">2. </w:t>
      </w:r>
      <w:r>
        <w:rPr>
          <w:rFonts w:ascii="Calibri" w:hAnsi="Calibri"/>
          <w:b w:val="0"/>
          <w:color w:val="3A4A28"/>
          <w:sz w:val="20"/>
        </w:rPr>
        <w:t>Softening E&amp;S market conditions forced 6% property and 6% surety premium declines as RLI maintained pricing discipline, with potential for further contraction if competitive pricing pressure intensifies [1][2]</w:t>
      </w:r>
    </w:p>
    <w:p>
      <w:pPr>
        <w:spacing w:before="40" w:after="40"/>
        <w:ind w:left="283"/>
      </w:pPr>
      <w:r>
        <w:rPr>
          <w:rFonts w:ascii="Calibri" w:hAnsi="Calibri"/>
          <w:b/>
          <w:color w:val="4A6B25"/>
          <w:sz w:val="20"/>
        </w:rPr>
        <w:t xml:space="preserve">3. </w:t>
      </w:r>
      <w:r>
        <w:rPr>
          <w:rFonts w:ascii="Calibri" w:hAnsi="Calibri"/>
          <w:b w:val="0"/>
          <w:color w:val="3A4A28"/>
          <w:sz w:val="20"/>
        </w:rPr>
        <w:t>Catastrophic loss exposure remains a tail risk — while the Kettle AI partnership improves cat modeling, a major hurricane or earthquake season could generate outsized losses relative to RLI's $5.7B market cap and $4.9B investment portfolio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RLI's specialty insurance underwriting is structurally protected from AI disruption — state-by-state licensing requires regulated underwriters, the AM Best A++ rating reflects capital adequacy that AI startups cannot replicate, and specialty lines like surety bonds and transportation liability require deep domain expertise and relationship-based distribution [1][3]. Physical-world risk assessment, claims investigation, and binding authority require human judgment and regulatory compliance. InsurTech AI tools can enhance pricing and risk selection but cannot replace the licensed, capitalized, relationship-driven specialty model. Some routine underwriting in personal lines faces automation pressure, but RLI's specialty focus in complex commercial risks provides additional insulation. AI Opportunity (0/1): RLI uses AI internally through its Kettle partnership for catastrophic risk modeling but does not generate revenue from AI products or services [2]. AI remains a back-office tool, not a revenue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RLI Corp Q2 2026 Earnings Release — Revenue $575.6M (+15.2%), Operating EPS $0.83, Combined Ratio 85.6, Net Investment Income $46M (+17%), Casualty +11%, Property -6%, Surety -6%, July 2026</w:t>
      </w:r>
    </w:p>
    <w:p>
      <w:pPr>
        <w:spacing w:before="20" w:after="20"/>
        <w:ind w:left="170"/>
      </w:pPr>
      <w:r>
        <w:rPr>
          <w:rFonts w:ascii="Calibri" w:hAnsi="Calibri"/>
          <w:b/>
          <w:color w:val="4A6B25"/>
          <w:sz w:val="15"/>
        </w:rPr>
        <w:t xml:space="preserve">2. </w:t>
      </w:r>
      <w:r>
        <w:rPr>
          <w:rFonts w:ascii="Calibri" w:hAnsi="Calibri"/>
          <w:b w:val="0"/>
          <w:color w:val="3A4A28"/>
          <w:sz w:val="17"/>
        </w:rPr>
        <w:t>RLI Corp Leadership &amp; Culture — CEO Kliethermes 'Markets change; our principles don't', 'Different Works' philosophy featured in MIT Sloan Management Review, Kettle AI partnership, 9% ESOP, 2025-2026</w:t>
      </w:r>
    </w:p>
    <w:p>
      <w:pPr>
        <w:spacing w:before="20" w:after="20"/>
        <w:ind w:left="170"/>
      </w:pPr>
      <w:r>
        <w:rPr>
          <w:rFonts w:ascii="Calibri" w:hAnsi="Calibri"/>
          <w:b/>
          <w:color w:val="4A6B25"/>
          <w:sz w:val="15"/>
        </w:rPr>
        <w:t xml:space="preserve">3. </w:t>
      </w:r>
      <w:r>
        <w:rPr>
          <w:rFonts w:ascii="Calibri" w:hAnsi="Calibri"/>
          <w:b w:val="0"/>
          <w:color w:val="3A4A28"/>
          <w:sz w:val="17"/>
        </w:rPr>
        <w:t>RLI Corp AM Best A++ Rating and Glassdoor #27 Best Places to Work — 97% recommendation, 4.9/5 culture and values, only insurer recognized, Carrier Management/Glassdoor, 2024-2026</w:t>
      </w:r>
    </w:p>
    <w:p>
      <w:pPr>
        <w:spacing w:before="20" w:after="20"/>
        <w:ind w:left="170"/>
      </w:pPr>
      <w:r>
        <w:rPr>
          <w:rFonts w:ascii="Calibri" w:hAnsi="Calibri"/>
          <w:b/>
          <w:color w:val="4A6B25"/>
          <w:sz w:val="15"/>
        </w:rPr>
        <w:t xml:space="preserve">4. </w:t>
      </w:r>
      <w:r>
        <w:rPr>
          <w:rFonts w:ascii="Calibri" w:hAnsi="Calibri"/>
          <w:b w:val="0"/>
          <w:color w:val="3A4A28"/>
          <w:sz w:val="17"/>
        </w:rPr>
        <w:t>RLI Corp Insider Activity — 9 buys / 0 sells in 12 months: CEO Kliethermes 2,000 shares, Director Duclos 2,500 ($130K), Director Kellogg 3,000 shares, May-June 2026, GuruFocus</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GuruFocus — RLI Key Statistics: Stock Price $64.28, Forward P/E 22.08, D/E 20%, ROE 25%, Profit Margin 22.22%,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RLI Corp Dividend History — 49+ consecutive years of increases, 5yr CAGR 5.92%, Total Yield ~4.97%, Payout Ratio ~61%, StockAnalysis/Macrotrends,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