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RLX</w:t>
      </w:r>
      <w:r>
        <w:rPr>
          <w:rFonts w:ascii="Calibri" w:hAnsi="Calibri"/>
          <w:b/>
          <w:color w:val="1A2010"/>
          <w:sz w:val="40"/>
        </w:rPr>
        <w:t xml:space="preserve">  RLX Technology Inc.</w:t>
      </w:r>
    </w:p>
    <w:p>
      <w:pPr>
        <w:spacing w:after="120"/>
      </w:pPr>
      <w:r>
        <w:rPr>
          <w:rFonts w:ascii="Calibri" w:hAnsi="Calibri"/>
          <w:b/>
          <w:color w:val="6E8450"/>
          <w:sz w:val="18"/>
        </w:rPr>
        <w:t>GROWTH SLEEVE · 2026-07-14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NYSE · China</w:t>
      </w:r>
    </w:p>
    <w:p>
      <w:pPr>
        <w:spacing w:after="80"/>
      </w:pPr>
      <w:r>
        <w:rPr>
          <w:rFonts w:ascii="Calibri" w:hAnsi="Calibri"/>
          <w:b w:val="0"/>
          <w:color w:val="3A4A28"/>
          <w:sz w:val="20"/>
        </w:rPr>
        <w:t>RLX Technology Inc. develops, manufactures, and sells e-vapor products worldwide. The company offers rechargeable e-vapor devices under the RELX, Qingyu, Phantom, and Zeus brands, as well as disposable e-vapor products under the Feiliu brand. Founded in 2018 by Kate (Ying) Wang, the company has rapidly expanded from a China-centric business to a global platform with international markets contributing 72.3% of Q1 2026 revenue. Headquartered in Shenzhen, China, and listed on the NYSE as an ADR.</w:t>
      </w:r>
    </w:p>
    <w:p>
      <w:r>
        <w:rPr>
          <w:rFonts w:ascii="Calibri" w:hAnsi="Calibri"/>
          <w:b/>
          <w:color w:val="6E8450"/>
          <w:sz w:val="18"/>
        </w:rPr>
        <w:t>3,000 Employees · https://www.relxtech.com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RLX Technology has executed a remarkable strategic pivot from a China-dependent e-vapor company to a global platform, with international markets contributing 72.3% of Q1 2026 revenue [1]. Net revenues surged 96.2% YoY to RMB 1,585.8M in Q1 2026, demonstrating exceptional execution in new market entry across multiple geographies [1]. The company has built multiple brands targeting different segments (RELX, Qingyu, Phantom, Zeus, Feiliu). AI Deployment (0/2): RLX is a consumer products company with limited disclosed AI deployment. Research labs focus on harm reduction and product safety rather than AI-driven innovation [3]. Market Share (2/2): RELX is the leading e-vapor brand in China and has achieved top ESG ranking among global e-cigarette companies per S&amp;P Global for two consecutive years, indicating strong brand positioning [3]. International expansion has been remarkably successful with 72.3% of revenue now from overseas markets [1]. Product Pipeline (1/2): New brand launches (Feiliu disposables, Zeus) and geographic expansion provide growth vectors, but the e-vapor product category is relatively narrow with limited platform diversification. R&amp;D Intensity (1/1): The company maintains multiple research labs focused on product development, harm reduction science, and safety, though R&amp;D spending as a percentage of revenue is modest for a consumer products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RLX positions its mission around harm reduction for adult smokers — developing safer alternatives to combustible cigarettes [3]. While this framing has legitimate public health support from organizations like Public Health England, the fundamental business is selling nicotine-delivery products, which inherently limits inspirational credibility. The Inspire Insight negative attribution for Tobacco reflects this tension. The mission has not been tested through major adversity or leadership transitions beyond regulatory headwinds in China. Community Impact (1/2): RLX has published ESG reports and achieved top S&amp;P Global ESG ranking among e-cigarette companies [3]. The company has invested in responsible marketing and age-verification systems. However, the vaping industry broadly faces criticism for youth appeal and nicotine addiction concerns. Employee Retention (1/2): Management team has strong average tenure of 7.4 years and board tenure of 5.3 years, suggesting leadership stability [2]. Limited Glassdoor data available for RLX Technology specifically. Insider Buying (0/2): As a China-based ADR, insider transaction visibility is limited. No notable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RLX Technology delivered exceptional Q1 2026 revenue growth of 96.2% YoY driven by international expansion [1]. Trailing P/E of 18.19 and forward P/E of 13.15 represent attractive valuation for a company growing revenue at this pace [4]. Profit margin of 22.47% and gross margin of 33.27% are solid for a consumer products company. Debt-to-equity of just 0.01 (essentially zero debt) provides maximum balance sheet flexibility with a current ratio of 8.53 [4]. ROE of 6.24% is the key weakness — well below the 15%+ threshold for strong returns, reflecting the large net cash position diluting equity returns. Dividend yield of 5.58% is attractive but the 99.71% payout ratio is unsustainable and leaves no margin for dividend growth [4]. TTM net income of $142.66M and free cash flow of $104.84M demonstrate genuine profitability. The stock trades at just 1.05x book value, suggesting limited downside risk from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RLX Technology demonstrates some infinite game characteristics — notably the strategic pivot from China-centric to global operations when domestic regulation tightened, showing existential flexibility. The harm reduction mission provides directional purpose. However, the company is relatively young (founded 2018), operates in a heavily regulated and socially controversial industry, and the near-100% dividend payout ratio suggests pressure for short-term shareholder returns over long-term reinvestment.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RLX's harm reduction mission — providing safer alternatives to combustible cigarettes for adult smokers — has legitimate scientific support but is inherently constrained by the tobacco/nicotine industry context [3]. The mission is forward-looking and resilient in that global smoking cessation is a multi-decade challenge, but it lacks the inspirational breadth of missions in healthcare, technology, or clean energy. The company has not been tested through existential challenges that would reveal the depth of commitment to this cause beyond profitability.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 stability is strong with 7.4 years average tenure for a company founded in 2018, indicating that leadership has remained intact since founding [2]. CEO Kate Wang's background at Uber China/Didi Chuxing suggests experience building high-performance teams in competitive environments. Limited visibility into broader organizational culture due to lack of Glassdoor data specific to RLX Technology.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RLX competes against established tobacco companies (Philip Morris/IQOS, British American Tobacco/Vuse), Chinese competitors (SMOORE), and numerous regional players. The company's focus on brand differentiation (multiple brands for different segments) and international expansion rather than price competition suggests awareness of rivals' strengths and a strategy to find uncontested markets rather than fight head-to-head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RLX demonstrated significant strategic flexibility by pivoting from a China-centric business model to a globally diversified operation when Chinese e-cigarette regulations (national standards implemented 2022) severely constrained the domestic market [1]. International revenue grew from a small fraction to 72.3% of Q1 2026 sales, representing a fundamental business model transformation executed successfully. This pivot — driven by external regulatory pressure rather than purely by choice — nevertheless required genuine organizational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Expanding aggressively into international markets while the Chinese domestic market faced regulatory headwinds required conviction and capital allocation courage [1]. The company invested in multiple brand launches and global distribution infrastructure with uncertain returns. However, the near-100% dividend payout ratio suggests prioritization of near-term shareholder returns over bold reinvestment, and the inherent regulatory uncertainty of the global e-vapor industry limits the scope for courageous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RLX Technology has executed a remarkable strategic transformation, pivoting from a China-dependent e-vapor company to a global platform with 72.3% of Q1 2026 revenue from international markets [1]. Net revenues surged 96.2% YoY to RMB 1,585.8M with non-GAAP operating income up 187.9%, demonstrating that international expansion is not just a revenue story but a profitability story [1]. At a forward P/E of 13.15 and price-to-book of just 1.05, the stock trades at a significant discount to growth peers despite revenue growth forecasts of 23% annually over the next three years [4]. The essentially debt-free balance sheet (D/E 0.01) and strong free cash flow generation ($104.84M TTM) provide financial flexibility.</w:t>
      </w:r>
    </w:p>
    <w:p>
      <w:pPr>
        <w:spacing w:after="120"/>
      </w:pPr>
      <w:r>
        <w:rPr>
          <w:rFonts w:ascii="Calibri" w:hAnsi="Calibri"/>
          <w:b w:val="0"/>
          <w:color w:val="3A4A28"/>
          <w:sz w:val="20"/>
        </w:rPr>
        <w:t>The bear case centers on regulatory and reputational risk inherent to the global e-vapor industry. Government regulation of vaping products is tightening worldwide — from flavor bans to marketing restrictions to outright prohibitions in some jurisdictions — and a single adverse regulatory action in a key market could materially impair growth [3]. The Inspire Insight Tobacco negative attribution reflects the social controversy around nicotine-delivery products, particularly regarding youth appeal. As a China-based ADR, RLX carries additional risks including VIE structure uncertainty, delisting risk under the HFCAA, and limited corporate governance transparency. The 99.71% dividend payout ratio is unsustainable and suggests either future dividend cuts or insufficient reinvestment in growth [4]. ROE of 6.24% is mediocre and reflects inefficient deployment of the large cash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international market penetration with potential to sustain 20%+ revenue growth as the company expands brand presence across Southeast Asia, Europe, and other geographies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international operations scale and fixed cost leverage improves, with gross margin already up to 31.8% in Q1 2026 [1]</w:t>
      </w:r>
    </w:p>
    <w:p>
      <w:pPr>
        <w:spacing w:before="40" w:after="40"/>
        <w:ind w:left="283"/>
      </w:pPr>
      <w:r>
        <w:rPr>
          <w:rFonts w:ascii="Calibri" w:hAnsi="Calibri"/>
          <w:b/>
          <w:color w:val="4A6B25"/>
          <w:sz w:val="20"/>
        </w:rPr>
        <w:t xml:space="preserve">3. </w:t>
      </w:r>
      <w:r>
        <w:rPr>
          <w:rFonts w:ascii="Calibri" w:hAnsi="Calibri"/>
          <w:b w:val="0"/>
          <w:color w:val="3A4A28"/>
          <w:sz w:val="20"/>
        </w:rPr>
        <w:t>Potential regulatory clarity in key markets that reduces the discount applied to e-vapor stocks relative to traditional consumer goods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crackdown risk — tightening global regulation of e-vapor products (flavor bans, marketing restrictions, taxation) could impair growth in key international markets that now drive 72.3% of revenue [3]</w:t>
      </w:r>
    </w:p>
    <w:p>
      <w:pPr>
        <w:spacing w:before="40" w:after="40"/>
        <w:ind w:left="283"/>
      </w:pPr>
      <w:r>
        <w:rPr>
          <w:rFonts w:ascii="Calibri" w:hAnsi="Calibri"/>
          <w:b/>
          <w:color w:val="4A6B25"/>
          <w:sz w:val="20"/>
        </w:rPr>
        <w:t xml:space="preserve">2. </w:t>
      </w:r>
      <w:r>
        <w:rPr>
          <w:rFonts w:ascii="Calibri" w:hAnsi="Calibri"/>
          <w:b w:val="0"/>
          <w:color w:val="3A4A28"/>
          <w:sz w:val="20"/>
        </w:rPr>
        <w:t>China ADR structural risk including VIE structure uncertainty, potential HFCAA delisting, and limited corporate governance transparency for US-listed investors</w:t>
      </w:r>
    </w:p>
    <w:p>
      <w:pPr>
        <w:spacing w:before="40" w:after="40"/>
        <w:ind w:left="283"/>
      </w:pPr>
      <w:r>
        <w:rPr>
          <w:rFonts w:ascii="Calibri" w:hAnsi="Calibri"/>
          <w:b/>
          <w:color w:val="4A6B25"/>
          <w:sz w:val="20"/>
        </w:rPr>
        <w:t xml:space="preserve">3. </w:t>
      </w:r>
      <w:r>
        <w:rPr>
          <w:rFonts w:ascii="Calibri" w:hAnsi="Calibri"/>
          <w:b w:val="0"/>
          <w:color w:val="3A4A28"/>
          <w:sz w:val="20"/>
        </w:rPr>
        <w:t>Unsustainable 99.71% dividend payout ratio signals either imminent dividend reduction or insufficient capital reinvestment, and ROE of 6.24% suggests the large cash position is not being deployed efficiently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RLX Technology operates in the physical consumer products space — designing, manufacturing, and distributing e-vapor devices and consumables. AI cannot replicate the physical product, supply chain, or retail distribution network, providing natural protection. However, AI-driven competitors could improve product design cycles, optimize supply chains more efficiently, or use AI-powered marketing to capture market share. The relatively commoditized nature of e-vapor hardware (rechargeable batteries, heating elements, pods) means AI-driven manufacturing optimization could benefit well-capitalized competitors. Regulatory compliance, a major business challenge, could be either simplified or complicated by AI-driven monitoring tools. AI Opportunity (1/1): RLX could deploy AI in supply chain optimization (critical for its global expansion to 72.3% international revenue), consumer preference analytics, product development, and regulatory compliance monitoring across multiple jurisdictions [1]. However, AI is not a transformative enabler for the core e-vapor product experience.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Tobacco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RLX Technology Q1 2026 Earnings Call and Financial Results — ir.relxtech.com and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RLX Technology Leadership and Management Team — Simply Wall St and Craft.co,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RLX Technology ESG Reports and S&amp;P Global ESG Rating — ir.relxtech.com, MarketScreener, and Nasdaq, 2023-2026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RLX Technology Key Statistics and Valuation Metrics,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RLX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