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RMD</w:t>
      </w:r>
      <w:r>
        <w:rPr>
          <w:rFonts w:ascii="Calibri" w:hAnsi="Calibri"/>
          <w:b/>
          <w:color w:val="1A2010"/>
          <w:sz w:val="40"/>
        </w:rPr>
        <w:t xml:space="preserve">  ResMed Inc.</w:t>
      </w:r>
    </w:p>
    <w:p>
      <w:pPr>
        <w:spacing w:after="120"/>
      </w:pPr>
      <w:r>
        <w:rPr>
          <w:rFonts w:ascii="Calibri" w:hAnsi="Calibri"/>
          <w:b/>
          <w:color w:val="6E8450"/>
          <w:sz w:val="18"/>
        </w:rPr>
        <w:t>GROWTH SLEEVE · 2026-08-08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&amp; Equipment · NYSE · United States</w:t>
      </w:r>
    </w:p>
    <w:p>
      <w:pPr>
        <w:spacing w:after="80"/>
      </w:pPr>
      <w:r>
        <w:rPr>
          <w:rFonts w:ascii="Calibri" w:hAnsi="Calibri"/>
          <w:b w:val="0"/>
          <w:color w:val="3A4A28"/>
          <w:sz w:val="20"/>
        </w:rPr>
        <w:t>ResMed is a global leader in cloud-connected medical devices and digital health solutions for sleep apnea, COPD, and other chronic respiratory conditions. Products include CPAP/BiPAP devices (AirSense platform), masks, and accessories, complemented by digital health platforms (myAir, AirView) and out-of-hospital care software (MatrixCare, Brightree). FY2026 revenue of $5.7B with ~$33B market cap.</w:t>
      </w:r>
    </w:p>
    <w:p>
      <w:r>
        <w:rPr>
          <w:rFonts w:ascii="Calibri" w:hAnsi="Calibri"/>
          <w:b/>
          <w:color w:val="6E8450"/>
          <w:sz w:val="18"/>
        </w:rPr>
        <w:t>10,000 Employees · https://www.resmed.com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ResMed successfully transitioned from a pure hardware CPAP manufacturer to a connected digital health ecosystem over the past five years, launching AirSense 11 with built-in connectivity, the myAir patient engagement platform, and acquiring MatrixCare and Brightree to build an end-to-end out-of-hospital care platform [1][2]. The transformation from device seller to data-driven health technology company represents genuine business model evolution. AI Deployment (2/2): Smart Comfort, FDA-cleared in December 2025, is the first AI-enabled medical device for personalized CPAP therapy — it leverages proprietary machine-learning algorithms trained on 100M+ nights of de-identified real-world sleep data to recommend individualized comfort settings, with limited beta launch in early 2026 and broader rollout underway [3]. Market Share (2/2): ResMed is the dominant global leader in sleep apnea devices, with commanding market share that expanded significantly after Philips' 2021 device recall removed a key competitor — estimated 60%+ share in flow generators globally [1][2]. Product Pipeline (1/2): Smart Comfort expansion, next-generation AirSense platform enhancements, and AI-driven screening and diagnosis tools showcased at SLEEP 2026 conference, with specific launch timelines for 2026-2027 [3]. R&amp;D Intensity (1/1): R&amp;D spending of ~7-8% of revenue is competitive for medical devices, with significant investment in AI/ML capabilities and digital health platforms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ResMed's mission — 'to empower 500 million people worldwide to achieve their full potential by 2030 by creating innovative and life-changing health technologies that people love' — is specific, quantified, service-oriented, and clearly connected to the company's work in sleep and breathing health [4]. By mid-2025, ResMed reported impacting 170M+ lives through its device and digital health ecosystem, demonstrating tangible progress toward the goal. The mission differentiates from generic medtech language and reflects genuine intentionality. Community Impact (1/2): ResMed launched an online CME education program targeting high-volume GLP-1 prescribers to improve sleep apnea diagnosis rates, addressing a significant public health gap where ~80% of sleep apnea cases remain undiagnosed [3]. While aligned with business interests, this has genuine community health impact. Employee Retention (0/2): Glassdoor reviews show a mixed culture — employees cite career development and benefits as positives but highlight concerns about compensation and senior leadership [2]. No specific tenure or turnover data available. Insider Buying (0/2): No evidence of meaningful net insider buying in the last 12 months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ResMed delivered exceptional FY2026 results with $5.7B revenue (10% YoY growth), non-GAAP EPS of $11.17 (17% growth), and $1.6B free cash flow [1]. The balance sheet is fortress-grade with D/E of just 13%, enabling aggressive capital returns of $287M in Q4 alone through dividends and buybacks. GAAP profit margin of 27.5% and ROE of 25.7% demonstrate sustained capital efficiency across a premium medical device business. Forward P/E of 19.25 falls just below the 20 target, while PEG of 1.40 reflects reasonable valuation relative to growth. The 5-year revenue CAGR of approximately 12% reflects consistent double-digit compounding through COVID disruptions and the GLP-1 scare [1][5]. Non-GAAP gross margin of 62.3% expanded 90bps in Q4, signaling continued mix shift toward higher-margin digital health and mask replacement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ResMed demonstrates genuine long-term commitment to improving sleep and breathing health, maintaining consistent strategic focus for 30+ years under the Farrell family leadership (founder Peter Farrell, now CEO Mick Farrell). The company's willingness to invest in digital health and AI during uncertain returns, and its measured response to the GLP-1 scare (educating physicians rather than panicking), reflect infinite-game thinking. However, the organization lacks evidence of exceptional cultural depth or transformative strategic pivots.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ResMed's mission to empower 500 million people through life-changing health technologies is a genuine cause — specific, quantified, service-oriented, and bigger than any single product [4]. The company has maintained consistent focus on sleep and breathing health for 30+ years across a founder-to-son CEO transition (Peter to Mick Farrell), demonstrating durability. Strategic decisions trace back to this purpose — investing in digital health, AI personalization, and patient engagement all serve the mission. However, it hasn't faced the kind of existential crisis that would fully validate the cause as Sinek would require for the highest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ResMed maintains stable leadership with CEO Mick Farrell serving since 2014, providing continuity from founder Peter Farrell's tenure. Glassdoor reviews indicate adequate workplace trust — employees cite career development and culture positively — but also note concerns about compensation competitiveness and senior leadership communication [2]. The company is stable without evidence of exceptional empowerment or distinctive trust-building practices.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ResMed's competitive response to Philips' market exit (post-recall) was to invest in innovation and patient outcomes rather than exploit a weakened competitor — expanding AI capabilities, improving therapy adherence, and building the digital health ecosystem [1][3]. Management language focuses on improving patient outcomes and expanding the addressable market (diagnosing the 80% of undiagnosed sleep apnea patients) rather than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ResMed has evolved meaningfully from a pure CPAP hardware company to a connected digital health ecosystem — adding cloud connectivity, patient engagement software, out-of-hospital care platforms, and AI-enabled personalized therapy [1][3]. This represents genuine strategic evolution that has diversified revenue and created new competitive moats. However, the core business remains sleep and breathing devices — the evolution has been additive and incremental rather than a transformative abandonment of an existing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ResMed made a courageous bet by investing heavily in connected health and digital platforms (MatrixCare acquisition for $750M+, Brightree, myAir development) when the ROI on healthcare software was uncertain [1]. During the 2023 GLP-1 panic that wiped ~30% off the stock price, management maintained strategic course rather than pivoting to address short-term market fears — a principled stance that has been vindicated by subsequent data showing GLP-1s complement rather than replace CPAP therapy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ResMed delivered strong FY2026 results with $5.7B revenue (10% growth), non-GAAP EPS of $11.17 (17% growth), and $1.6B free cash flow, demonstrating the power of its dominant position in the $30B+ sleep apnea device market [1]. The GLP-1 drug threat has been definitively defused — three years of data show patients discontinue weight-loss drugs within a year while maintaining CPAP therapy, and ResMed is using the awareness to drive new sleep apnea diagnoses among GLP-1 prescribers [3]. The Smart Comfort AI platform, leveraging 100M+ nights of proprietary sleep data, creates a data moat that deepens with scale. Forward P/E of 19.25 is attractive for a medical device leader generating 27.5% net margins and 25.7% ROE with minimal leverage (D/E 13%).</w:t>
      </w:r>
    </w:p>
    <w:p>
      <w:pPr>
        <w:spacing w:after="120"/>
      </w:pPr>
      <w:r>
        <w:rPr>
          <w:rFonts w:ascii="Calibri" w:hAnsi="Calibri"/>
          <w:b w:val="0"/>
          <w:color w:val="3A4A28"/>
          <w:sz w:val="20"/>
        </w:rPr>
        <w:t>The primary risk is decelerating growth. FY2027 guidance of 5-7% core revenue growth (down from 10% in FY2026) reflects headwinds from the Astral ventilator portfolio and tougher comparisons post-Philips recall benefit [1]. At ~$33B market cap, the stock needs to justify premium medtech multiples without the tailwind of competitor market share capture that boosted FY2024-2026 results. Digital health revenue (MatrixCare, Brightree) faces competitive pressure from larger health IT platforms, and the transition from transactional device sales to recurring SaaS revenue remains incomplete. International expansion, particularly in China and emerging markets, carries regulatory and reimbursement uncertainty that could cap the global addressable market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Smart Comfort AI platform broader rollout in 2026-2027, improving CPAP adherence rates and creating a differentiated patient experience that drives mask replacement revenue and reduces churn</w:t>
      </w:r>
    </w:p>
    <w:p>
      <w:pPr>
        <w:spacing w:before="40" w:after="40"/>
        <w:ind w:left="283"/>
      </w:pPr>
      <w:r>
        <w:rPr>
          <w:rFonts w:ascii="Calibri" w:hAnsi="Calibri"/>
          <w:b/>
          <w:color w:val="4A6B25"/>
          <w:sz w:val="20"/>
        </w:rPr>
        <w:t xml:space="preserve">2. </w:t>
      </w:r>
      <w:r>
        <w:rPr>
          <w:rFonts w:ascii="Calibri" w:hAnsi="Calibri"/>
          <w:b w:val="0"/>
          <w:color w:val="3A4A28"/>
          <w:sz w:val="20"/>
        </w:rPr>
        <w:t>Expansion of sleep apnea diagnosis rates through GLP-1 prescriber education — with 80% of cases undiagnosed globally, each percentage point improvement represents billions in addressable market</w:t>
      </w:r>
    </w:p>
    <w:p>
      <w:pPr>
        <w:spacing w:before="40" w:after="40"/>
        <w:ind w:left="283"/>
      </w:pPr>
      <w:r>
        <w:rPr>
          <w:rFonts w:ascii="Calibri" w:hAnsi="Calibri"/>
          <w:b/>
          <w:color w:val="4A6B25"/>
          <w:sz w:val="20"/>
        </w:rPr>
        <w:t xml:space="preserve">3. </w:t>
      </w:r>
      <w:r>
        <w:rPr>
          <w:rFonts w:ascii="Calibri" w:hAnsi="Calibri"/>
          <w:b w:val="0"/>
          <w:color w:val="3A4A28"/>
          <w:sz w:val="20"/>
        </w:rPr>
        <w:t>Capital return acceleration with $1.85B+ guided for FY2027 through buybacks and dividends, supported by $1.6B annual free cash flow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growth guidance of 5-7% represents significant deceleration from 10% in FY2026, risking multiple compression if the market rerates from growth to value</w:t>
      </w:r>
    </w:p>
    <w:p>
      <w:pPr>
        <w:spacing w:before="40" w:after="40"/>
        <w:ind w:left="283"/>
      </w:pPr>
      <w:r>
        <w:rPr>
          <w:rFonts w:ascii="Calibri" w:hAnsi="Calibri"/>
          <w:b/>
          <w:color w:val="4A6B25"/>
          <w:sz w:val="20"/>
        </w:rPr>
        <w:t xml:space="preserve">2. </w:t>
      </w:r>
      <w:r>
        <w:rPr>
          <w:rFonts w:ascii="Calibri" w:hAnsi="Calibri"/>
          <w:b w:val="0"/>
          <w:color w:val="3A4A28"/>
          <w:sz w:val="20"/>
        </w:rPr>
        <w:t>Post-Philips recall market share gains are largely captured — organic growth must now come from new patient diagnosis and geographic expansion rather than competitor weakness</w:t>
      </w:r>
    </w:p>
    <w:p>
      <w:pPr>
        <w:spacing w:before="40" w:after="40"/>
        <w:ind w:left="283"/>
      </w:pPr>
      <w:r>
        <w:rPr>
          <w:rFonts w:ascii="Calibri" w:hAnsi="Calibri"/>
          <w:b/>
          <w:color w:val="4A6B25"/>
          <w:sz w:val="20"/>
        </w:rPr>
        <w:t xml:space="preserve">3. </w:t>
      </w:r>
      <w:r>
        <w:rPr>
          <w:rFonts w:ascii="Calibri" w:hAnsi="Calibri"/>
          <w:b w:val="0"/>
          <w:color w:val="3A4A28"/>
          <w:sz w:val="20"/>
        </w:rPr>
        <w:t>Potential resurgence of GLP-1 disruption narrative if newer, more effective weight-loss drugs demonstrate sustained sleep apnea reduction in long-term clinical trials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ResMed's core business — manufacturing FDA-cleared CPAP devices, masks, and accessories — is structurally immune to AI disruption. Physical medical devices require clinical validation, regulatory clearance, manufacturing expertise, and supply chain infrastructure that AI cannot substitute [1][3]. The GLP-1 drug scare (Ozempic/Wegovy potentially reducing sleep apnea prevalence through weight loss) proved unfounded after three years of data — the majority of patients discontinue GLP-1 therapy within one year while remaining good CPAP patients, and ResMed has used the episode to educate physicians about sleep apnea screening [3]. The company's 100M+ nights of proprietary sleep data creates an AI moat that competitors cannot replicate. AI Opportunity (1/1): Smart Comfort is the first FDA-cleared AI-enabled medical device for personalized CPAP therapy, generating meaningful revenue enhancement through improved patient adherence and device attachment rates. The myAir digital health platform uses machine learning for patient engagement across millions of connected devices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ResMed Q4 FY2026 Earnings Release and Full-Year Results — GlobeNewsWire, Investor Relations, August 6, 2026</w:t>
      </w:r>
    </w:p>
    <w:p>
      <w:pPr>
        <w:spacing w:before="20" w:after="20"/>
        <w:ind w:left="170"/>
      </w:pPr>
      <w:r>
        <w:rPr>
          <w:rFonts w:ascii="Calibri" w:hAnsi="Calibri"/>
          <w:b/>
          <w:color w:val="4A6B25"/>
          <w:sz w:val="15"/>
        </w:rPr>
        <w:t xml:space="preserve">2. </w:t>
      </w:r>
      <w:r>
        <w:rPr>
          <w:rFonts w:ascii="Calibri" w:hAnsi="Calibri"/>
          <w:b w:val="0"/>
          <w:color w:val="3A4A28"/>
          <w:sz w:val="17"/>
        </w:rPr>
        <w:t>ResMed CEO Mick Farrell on AI, Tariffs, and Technology — MedTech Dive; Glassdoor Reviews, 2025-2026</w:t>
      </w:r>
    </w:p>
    <w:p>
      <w:pPr>
        <w:spacing w:before="20" w:after="20"/>
        <w:ind w:left="170"/>
      </w:pPr>
      <w:r>
        <w:rPr>
          <w:rFonts w:ascii="Calibri" w:hAnsi="Calibri"/>
          <w:b/>
          <w:color w:val="4A6B25"/>
          <w:sz w:val="15"/>
        </w:rPr>
        <w:t xml:space="preserve">3. </w:t>
      </w:r>
      <w:r>
        <w:rPr>
          <w:rFonts w:ascii="Calibri" w:hAnsi="Calibri"/>
          <w:b w:val="0"/>
          <w:color w:val="3A4A28"/>
          <w:sz w:val="17"/>
        </w:rPr>
        <w:t>ResMed Smart Comfort FDA Clearance, GLP-1 Insights, SLEEP 2026 Conference — HME News, ResMed Newsroom, 2025-2026</w:t>
      </w:r>
    </w:p>
    <w:p>
      <w:pPr>
        <w:spacing w:before="20" w:after="20"/>
        <w:ind w:left="170"/>
      </w:pPr>
      <w:r>
        <w:rPr>
          <w:rFonts w:ascii="Calibri" w:hAnsi="Calibri"/>
          <w:b/>
          <w:color w:val="4A6B25"/>
          <w:sz w:val="15"/>
        </w:rPr>
        <w:t xml:space="preserve">4. </w:t>
      </w:r>
      <w:r>
        <w:rPr>
          <w:rFonts w:ascii="Calibri" w:hAnsi="Calibri"/>
          <w:b w:val="0"/>
          <w:color w:val="3A4A28"/>
          <w:sz w:val="17"/>
        </w:rPr>
        <w:t>ResMed Mission, Vision &amp; Values — Comparably, ResMed Corporate Website,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ResMed Financial Statistics — StockAnalysis.com, Yahoo Finance, GuruFocus,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