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ROLR</w:t>
      </w:r>
      <w:r>
        <w:rPr>
          <w:rFonts w:ascii="Calibri" w:hAnsi="Calibri"/>
          <w:b/>
          <w:color w:val="1A2010"/>
          <w:sz w:val="40"/>
        </w:rPr>
        <w:t xml:space="preserve">  High Roller Technologies, Inc.</w:t>
      </w:r>
    </w:p>
    <w:p>
      <w:pPr>
        <w:spacing w:after="120"/>
      </w:pPr>
      <w:r>
        <w:rPr>
          <w:rFonts w:ascii="Calibri" w:hAnsi="Calibri"/>
          <w:b/>
          <w:color w:val="6E8450"/>
          <w:sz w:val="18"/>
        </w:rPr>
        <w:t>GROWTH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Gambling · NYSEAMERICAN · United States</w:t>
      </w:r>
    </w:p>
    <w:p>
      <w:pPr>
        <w:spacing w:after="80"/>
      </w:pPr>
      <w:r>
        <w:rPr>
          <w:rFonts w:ascii="Calibri" w:hAnsi="Calibri"/>
          <w:b w:val="0"/>
          <w:color w:val="3A4A28"/>
          <w:sz w:val="20"/>
        </w:rPr>
        <w:t>High Roller Technologies, Inc. is a global online gaming operator offering real-money casino and iGaming platforms under the High Roller and Fruta brands. The company provides access to over 6,000 premium games from 90+ game providers. Recently pivoting to launch a U.S. prediction markets product with Crypto.com partnership. IPO'd October 2024. Market cap approximately $69M.</w:t>
      </w:r>
    </w:p>
    <w:p>
      <w:r>
        <w:rPr>
          <w:rFonts w:ascii="Calibri" w:hAnsi="Calibri"/>
          <w:b/>
          <w:color w:val="6E8450"/>
          <w:sz w:val="18"/>
        </w:rPr>
        <w:t>57 Employees · https://ir.highroller.com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 Roller launched its online casino platform with 6,000+ games from 90+ providers and recently announced a strategic pivot to U.S. prediction markets with a Crypto.com partnership [1][2]. The planned market exit from underperforming regions to focus resources on the U.S. prediction opportunity shows strategic willingness to evolve. However, the company IPO'd only in October 2024 and has not demonstrated sustained market traction — revenue declined 14.9% TTM to $18.6M [1]. AI Deployment (1/2): Created a new Head of Applied AI position and appointed Nicholis Muller to lead applied AI initiatives across compliance automation, product personalization, customer engagement, and internal workflows [2]. CEO Young stated AI must be 'defensible, not decorative' in regulated environments. However, no measurable AI revenue or quantified efficiency gains have been reported. Market Share (0/2): No meaningful market share position — High Roller is a micro-cap ($69M) with 57 employees competing against DraftKings, FanDuel, Flutter/FanDuel, and established iGaming operators with billions in revenue. Product Pipeline (1/2): U.S. prediction markets launch planned with Crypto.com partnership provides specific pipeline visibility, but no revenue guidance or launch dates have been confirmed [2]. R&amp;D Intensity (0/1): No R&amp;D spending disclosed; technology investment channeled through AI headcount addition.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 Roller's stated purpose centers on 'creating exceptional experiences for players' — a generic gaming industry mission interchangeable with any competitor [2]. No deeper purpose or vision beyond commercial entertainment is articulated. Community Impact (0/2): No evidence of charitable programs, community investment, or corporate philanthropy found for this early-stage gaming company. Employee Retention (0/2): With only 57 employees and CEO Seth Young appointed less than a year ago (August 2025), there is insufficient data to assess organizational culture or retention [2]. The company is too young and too small for meaningful retention analysis. Insider Buying (0/2): No notable insider buying identified. The company recently raised $25M through a registered direct offering and $1M strategic investment, diluting existing shareholders rather than demonstrating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78,681 shares x $6.27 stock price = $493,329 daily traded value, below the $1,000,000 minimum threshold [3]. Infrastructure score is automatically 0 regardless of other metrics. The underlying financials are fragile: Q1 2026 revenue of $3.4M declined 35% YoY with a net loss of $3.0M and Adjusted EBITDA of -$1.3M [1]. Full-year 2025 revenue was $20.5M (down 11.9%) with operating losses of $6.1M. The company regained NYSE American listing compliance in April 2026 after previously falling below the $4M stockholders' equity requirement [3]. Positive: the balance sheet has no debt and $22.5M in cash following the $25M raise.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High Roller Technologies operates with a finite mindset characteristic of an early-stage company focused on survival and market positioning rather than enduring purpose. The company has changed its strategic direction from pure iGaming to prediction markets within its first two years as a public company, reflecting opportunistic pivoting rather than cause-driven evolution. CEO tenure of less than one year, 57 employees, and recent NYSE compliance challenges signal organizational instability.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High Roller exists to monetize online gambling and is now pivoting to prediction markets — both purely commercial objectives without an articulated vision of a better future [2]. 'Creating exceptional experiences for players' is marketing language, not a cause that would inspire sacrifice. The rapid strategic pivot from iGaming to prediction markets suggests opportunism over purpose-driven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evidence to assess organizational trust. The company has only 57 employees, CEO Seth Young was appointed in August 2025 (less than one year tenure), and COO Kristofer Muscat was just hired [2]. The organizational instability of a recent leadership transition, NYSE compliance challenges, and strategic pivot creates an environment unlikely to foster deep psychological safety. Too new and too small to demonstrate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healthy competitive mindset. High Roller does not publicly acknowledge competitors or discuss how rival strengths inform its strategy. The pivot to prediction markets appears to be a competitive escape — moving to a less contested market — rather than using competitive pressure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from pure iGaming to U.S. prediction markets with Crypto.com partnership demonstrates willingness to evolve the business model significantly [2]. The planned exit from underperforming markets to concentrate resources on the U.S. opportunity shows strategic focus. However, as with PAVS, this flexibility appears driven by commercial necessity (declining revenue, competitive pressure) rather than service to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certain profitable markets and pivot to U.S. prediction markets before that market is proven represents a meaningful strategic bet [1][2]. The $25M capital raise to fund the prediction markets launch and AI capabilities demonstrates willingness to invest in future capabilities over current profitability. However, this is a single strategic bet from a very young public company — the pattern of courage Sinek requires has not been established.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 Roller Technologies is attempting a strategic pivot from pure iGaming to U.S. prediction markets, partnering with Crypto.com and investing in AI capabilities under newly appointed Head of Applied AI Nicholis Muller [2]. The company has $22.5M in cash with no debt after a $25M raise, providing runway for the prediction markets launch. At $69M market cap, successful execution in the rapidly growing prediction markets space could deliver significant upside from a low base.</w:t>
      </w:r>
    </w:p>
    <w:p>
      <w:pPr>
        <w:spacing w:after="120"/>
      </w:pPr>
      <w:r>
        <w:rPr>
          <w:rFonts w:ascii="Calibri" w:hAnsi="Calibri"/>
          <w:b w:val="0"/>
          <w:color w:val="3A4A28"/>
          <w:sz w:val="20"/>
        </w:rPr>
        <w:t>The bear case is compelling. Revenue declined 14.9% TTM to $18.6M with Q1 2026 showing a 35% YoY decline to just $3.4M and a $3.0M net loss [1]. The company has only 57 employees and a CEO with less than one year of tenure, competing against DraftKings, FanDuel, and Kalshi in prediction markets — companies with hundreds of millions in revenue and massive user bases. The $25M raise diluted shareholders while the prediction markets product has not launched or generated any revenue. NYSE American compliance was only regained in April 2026 after falling below the $4M equity threshold, and the 52-week price range of $1.16 to $33.68 reflects extreme volatility [3]. Average daily traded value of $493K makes the stock illiquid for any institutional investor. The gambling industry faces ongoing regulatory uncertainty in multiple jurisdictions.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U.S. prediction markets launch with Crypto.com partnership could open a rapidly growing market segment and differentiate from legacy iGaming competitors</w:t>
      </w:r>
    </w:p>
    <w:p>
      <w:pPr>
        <w:spacing w:before="40" w:after="40"/>
        <w:ind w:left="283"/>
      </w:pPr>
      <w:r>
        <w:rPr>
          <w:rFonts w:ascii="Calibri" w:hAnsi="Calibri"/>
          <w:b/>
          <w:color w:val="4A6B25"/>
          <w:sz w:val="20"/>
        </w:rPr>
        <w:t xml:space="preserve">2. </w:t>
      </w:r>
      <w:r>
        <w:rPr>
          <w:rFonts w:ascii="Calibri" w:hAnsi="Calibri"/>
          <w:b w:val="0"/>
          <w:color w:val="3A4A28"/>
          <w:sz w:val="20"/>
        </w:rPr>
        <w:t>Applied AI capabilities driving compliance automation and product personalization could improve operating efficiency and customer engagement metrics</w:t>
      </w:r>
    </w:p>
    <w:p>
      <w:pPr>
        <w:spacing w:before="40" w:after="40"/>
        <w:ind w:left="283"/>
      </w:pPr>
      <w:r>
        <w:rPr>
          <w:rFonts w:ascii="Calibri" w:hAnsi="Calibri"/>
          <w:b/>
          <w:color w:val="4A6B25"/>
          <w:sz w:val="20"/>
        </w:rPr>
        <w:t xml:space="preserve">3. </w:t>
      </w:r>
      <w:r>
        <w:rPr>
          <w:rFonts w:ascii="Calibri" w:hAnsi="Calibri"/>
          <w:b w:val="0"/>
          <w:color w:val="3A4A28"/>
          <w:sz w:val="20"/>
        </w:rPr>
        <w:t>Cash position of $22.5M with no debt provides 12-18 months of runway at current burn rate to execute the strategic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14.9% TTM with Q1 2026 down 35% YoY indicates the core iGaming business is deteriorating rapidly while the prediction markets replacement revenue stream remains pre-launch</w:t>
      </w:r>
    </w:p>
    <w:p>
      <w:pPr>
        <w:spacing w:before="40" w:after="40"/>
        <w:ind w:left="283"/>
      </w:pPr>
      <w:r>
        <w:rPr>
          <w:rFonts w:ascii="Calibri" w:hAnsi="Calibri"/>
          <w:b/>
          <w:color w:val="4A6B25"/>
          <w:sz w:val="20"/>
        </w:rPr>
        <w:t xml:space="preserve">2. </w:t>
      </w:r>
      <w:r>
        <w:rPr>
          <w:rFonts w:ascii="Calibri" w:hAnsi="Calibri"/>
          <w:b w:val="0"/>
          <w:color w:val="3A4A28"/>
          <w:sz w:val="20"/>
        </w:rPr>
        <w:t>Average daily traded value of $493K fails the IOWN liquidity floor — the stock is effectively untradeable for institutional portfolios and carries extreme bid-ask spread risk</w:t>
      </w:r>
    </w:p>
    <w:p>
      <w:pPr>
        <w:spacing w:before="40" w:after="40"/>
        <w:ind w:left="283"/>
      </w:pPr>
      <w:r>
        <w:rPr>
          <w:rFonts w:ascii="Calibri" w:hAnsi="Calibri"/>
          <w:b/>
          <w:color w:val="4A6B25"/>
          <w:sz w:val="20"/>
        </w:rPr>
        <w:t xml:space="preserve">3. </w:t>
      </w:r>
      <w:r>
        <w:rPr>
          <w:rFonts w:ascii="Calibri" w:hAnsi="Calibri"/>
          <w:b w:val="0"/>
          <w:color w:val="3A4A28"/>
          <w:sz w:val="20"/>
        </w:rPr>
        <w:t>Competing in prediction markets against Kalshi ($200M+ raised), Polymarket (crypto-native), and potential DraftKings/FanDuel entry with only 57 employees and $69M market cap represents a severe scale mismatch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High Roller's online gambling and iGaming business faces moderate AI disruption risk. On the protective side, regulated gambling operates under strict licensing requirements that AI cannot bypass — obtaining and maintaining gaming licenses in multiple jurisdictions creates meaningful regulatory moats [3]. The physical-world equivalents of casino experiences are not substitutable by AI. However, AI presents real competitive risk: larger operators can deploy AI for superior game recommendations, personalization, and player engagement, potentially commoditizing the user experience that High Roller currently offers. The planned prediction markets business could face AI-driven competition from platforms using sophisticated models. AI tools could also enable faster development of competing gaming platforms, reducing barriers to entry [2]. AI Opportunity (0/1): Despite creating a Head of Applied AI role and articulating AI as a 'core operating capability' for the prediction markets launch, no AI-specific revenue has been generated or quantified [2]. The AI initiatives are in early development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 Roller Technologies Q1 2026 Earnings and 2025 Full-Year Results — SEC 8-K Filings, TradingView, May 2026</w:t>
      </w:r>
    </w:p>
    <w:p>
      <w:pPr>
        <w:spacing w:before="20" w:after="20"/>
        <w:ind w:left="170"/>
      </w:pPr>
      <w:r>
        <w:rPr>
          <w:rFonts w:ascii="Calibri" w:hAnsi="Calibri"/>
          <w:b/>
          <w:color w:val="4A6B25"/>
          <w:sz w:val="15"/>
        </w:rPr>
        <w:t xml:space="preserve">2. </w:t>
      </w:r>
      <w:r>
        <w:rPr>
          <w:rFonts w:ascii="Calibri" w:hAnsi="Calibri"/>
          <w:b w:val="0"/>
          <w:color w:val="3A4A28"/>
          <w:sz w:val="17"/>
        </w:rPr>
        <w:t>High Roller Technologies AI Expansion, CEO Appointment, and U.S. Prediction Markets Strategy — StockTitan, CasinoGuardian, 2025-2026</w:t>
      </w:r>
    </w:p>
    <w:p>
      <w:pPr>
        <w:spacing w:before="20" w:after="20"/>
        <w:ind w:left="170"/>
      </w:pPr>
      <w:r>
        <w:rPr>
          <w:rFonts w:ascii="Calibri" w:hAnsi="Calibri"/>
          <w:b/>
          <w:color w:val="4A6B25"/>
          <w:sz w:val="15"/>
        </w:rPr>
        <w:t xml:space="preserve">3. </w:t>
      </w:r>
      <w:r>
        <w:rPr>
          <w:rFonts w:ascii="Calibri" w:hAnsi="Calibri"/>
          <w:b w:val="0"/>
          <w:color w:val="3A4A28"/>
          <w:sz w:val="17"/>
        </w:rPr>
        <w:t>High Roller Technologies NYSE Compliance and Financial Overview — GlobeNewsWire, StockAnalysis.com, GuruFocus,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