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ROL</w:t>
      </w:r>
      <w:r>
        <w:rPr>
          <w:rFonts w:ascii="Calibri" w:hAnsi="Calibri"/>
          <w:b/>
          <w:color w:val="1A2010"/>
          <w:sz w:val="40"/>
        </w:rPr>
        <w:t xml:space="preserve">  Rollins, Inc.</w:t>
      </w:r>
    </w:p>
    <w:p>
      <w:pPr>
        <w:spacing w:after="120"/>
      </w:pPr>
      <w:r>
        <w:rPr>
          <w:rFonts w:ascii="Calibri" w:hAnsi="Calibri"/>
          <w:b/>
          <w:color w:val="6E8450"/>
          <w:sz w:val="18"/>
        </w:rPr>
        <w:t>GROWTH SLEEVE · 2026-07-08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Rollins, Inc. is the world's second-largest pest control company, providing residential, commercial, and termite and ancillary pest control services through its family of brands including Orkin, HomeTeam Pest Defense, Clark Pest Control, Northwest Exterminating, and other regional subsidiaries. The company operates across North America and internationally, delivering recurring-revenue pest management services through a network of company-owned and franchised locations. Founded in 1948 by O. Wayne Rollins, headquartered in Atlanta, Georgia.</w:t>
      </w:r>
    </w:p>
    <w:p>
      <w:r>
        <w:rPr>
          <w:rFonts w:ascii="Calibri" w:hAnsi="Calibri"/>
          <w:b/>
          <w:color w:val="6E8450"/>
          <w:sz w:val="18"/>
        </w:rPr>
        <w:t>19,000 Employees · https://www.rollins.com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Rollins has grown consistently through strategic acquisitions — HomeTeam Pest Defense, Clark Pest Control, Fox Pest Control, and numerous regional operators — expanding geographic footprint and capabilities. Q1 2026 marked the 98th consecutive quarter of revenue growth [1]. However, these are bolt-on acquisitions in the same industry, not transformative pivots or new product launches. The core business model of dispatching technicians to treat properties for pests has not fundamentally changed. AI Deployment (1/2): Route Optimization AI deployed to reduce fuel consumption and improve scheduling efficiency. Leadership outlined a strategy focused on 'leveraging technology and AI to drive sustainable growth,' but no specific revenue gains or cost savings have been quantified [2]. Market Share (2/2): Rollins is the #2 pest control company globally behind Rentokil (post-Terminix merger), with Q1 2026 revenue of $906.4M growing 10.2% YoY [1]. The company is actively gaining share through organic growth of 6.6% plus 3.6% acquisition-driven growth, with specific gains: commercial +7.7% organic, termite/ancillary +9.8% organic [1]. Product Pipeline (1/2): Medium-term targets include 7-8% organic revenue growth plus 2-3% from M&amp;A. The Co-Lab leadership development initiative and low-toxicity treatment systems represent investment in capabilities but not specific next-gen products [2]. R&amp;D Intensity (0/1): Pest control companies have inherently low R&amp;D intensity. Rollins' innovation focus is operational efficiency and technology implementation, not product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Rollins' strategic framework emphasizes four pillars — 'people first, customer loyalty, growth mindset, and operational efficiency' — which describe how the company operates rather than why it exists [2]. The company's implicit purpose is protecting homes and businesses from pests, which is practically important but not deeply inspiring beyond the functional level. The mission is clear but interchangeable with any service business. Community Impact (0/2): No evidence of significant charitable programs, corporate foundation, or quantified community investment beyond standard corporate citizenship. The Crown Leadership Award for ethical leadership given to CEO Gahlhoff signals values but is an internal recognition, not community impact [2]. Employee Retention (1/2): CEO Jerry Gahlhoff started his career in 1991 as an entomologist and rose through leadership roles over 35 years, eventually becoming President and CEO — demonstrating a strong internal promotion culture [2]. The Co-Lab initiative for leadership development invests in talent retention. Average retention data is not published, but the 'people first' pillar and CEO's career trajectory suggest above-average commitment to employees. Insider Buying (0/2): The Rollins family historically held large ownership stakes, providing alignment, but no evidence of meaningful net insider buying by current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Rollins demonstrates strong financial fundamentals across most dimensions. D/E of 77% is well within the 300% floor and approaching the 70% target [3]. ROE of 38.7% is exceptional — nearly 2.6x the 15% target — reflecting high capital efficiency in an asset-light services model [3]. Revenue growth is strong: 10.2% YoY in Q1 2026 and estimated 5-year CAGR of approximately 9.6%, both near the 10% target [1]. Profit margin of 13.8% is solid for a services business but below the 20% target [3]. The valuation premium is the primary weakness: forward PE of 33.4x exceeds the 20x target, and forward PEG of 2.66 is well above the 1.0 target, reflecting the market's appreciation of Rollins' quality but leaving limited margin of safety [3]. Annual dividend of $0.73/share (1.56% yield) demonstrates commitment to shareholder returns but yield falls below the 2% Dividend sleeve threshold. Liquidity floor cleared easily: 4.92M avg vol x $46.79 = $230.2M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Rollins exhibits strong infinite game characteristics rooted in its 78-year history and consistent execution. The company has maintained its core pest control focus through eight decades, multiple market cycles, and a family-to-professional leadership transition, demonstrating the consistency Sinek values above all else. CEO Gahlhoff's 35-year career from entomologist to CEO and the 'people first' culture create genuine organizational trust. However, the company's purpose — pest control — is pragmatic rather than transcendent, and the competitive language occasionally defaults to market share and growth metrics rather than self-improvement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Rollins' purpose of protecting homes, businesses, and public health from pest threats is genuine, enduring, and has been validated by 78 years of consistent execution through every market cycle since 1948 [2]. The company has never strayed from its core mission, which Sinek would recognize as the kind of focused consistency that defines infinite players. However, the purpose is fundamentally practical — protecting structures from pests — rather than idealistic or aspirational. It doesn't describe a future state that doesn't yet exist. Strategic decisions can be traced to this purpose (acquisitions to expand coverage, The Co-Lab to develop leaders), but it lacks the transformative quality that distinguishes a 10.</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Jerry Gahlhoff's career arc is a powerful indicator of organizational trust — starting as an entomologist in 1991, rising through leadership roles at various Rollins subsidiary brands over 35 years, receiving the Crown Leadership Award for ethical leadership, and ultimately becoming President and CEO [2]. This trajectory is only possible in a high-trust organization that identifies, develops, and promotes internal talent. The 'people first' strategic pillar is backed by The Co-Lab leadership development initiative, and the company's consistent ability to integrate acquisitions (maintaining 98 consecutive quarters of growth) requires trust across diverse organizational units [1][2]. The founding Rollins family's continued involvement provides cultural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Rollins competes in a market where Rentokil-Terminix is larger, and the company's response has been to focus on service quality, operational efficiency, and customer loyalty rather than engaging in price wars or aggressive competitive rhetoric [2]. CEO Gahlhoff's emphasis on 'continuous improvement across four strategic pillars' frames competition as a catalyst for self-improvement. The company acknowledges that M&amp;A competition exists (2-3% annual revenue from acquisitions) but focuses on execution and integration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Rollins has evolved incrementally over its 78-year history — expanding from primarily residential pest control into commercial services, termite treatment, wildlife management, and mosquito control. The aggressive acquisition strategy (Clark Pest Control, Fox Pest Control, HomeTeam, numerous regional operators) represents meaningful geographic and service capability expansion [1]. The transition from a family-controlled company to professionally managed enterprise was a significant organizational evolution. However, the core business model of dispatching technicians to treat properties has not fundamentally changed, and no transformative pivot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Rollins has consistently invested in growth through all market cycles — maintaining its acquisition pace, investing in technology modernization, and building The Co-Lab during periods of margin pressure [2]. Q1 2026 adjusted operating margin declined 100bps YoY, but management continued investing in capabilities rather than cutting to protect short-term margins [1]. The company's commitment to organic growth of 7-8% plus 2-3% M&amp;A represents a long-term capacity-building mindset. However, no specific example of a dramatically costly long-term bet or principled stand was identified — the investments are prudent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Rollins is a high-quality compounder delivering its 98th consecutive quarter of revenue growth — Q1 2026 revenue of $906.4M grew 10.2% YoY with 6.6% organic and 3.6% from acquisitions [1]. The pest control industry offers structural advantages: recurring revenue (customers renew annually), essential service (pests don't stop during recessions), and fragmented competition allowing rollup-driven growth. ROE of 38.7% reflects exceptional capital efficiency, D/E of 77% demonstrates balance sheet discipline, and the company targets medium-term organic growth of 7-8% with 2-3% M&amp;A [1][3]. At $20.9B market cap, Rollins trades at a premium but rewards shareholders with consistent double-digit total returns — the 5-year dividend growth CAGR of 17.9% signals confidence in earnings trajectory [3]. AI resilience is among the highest possible (9/10) as physical pest control services cannot be digitally substituted.</w:t>
      </w:r>
    </w:p>
    <w:p>
      <w:pPr>
        <w:spacing w:after="120"/>
      </w:pPr>
      <w:r>
        <w:rPr>
          <w:rFonts w:ascii="Calibri" w:hAnsi="Calibri"/>
          <w:b w:val="0"/>
          <w:color w:val="3A4A28"/>
          <w:sz w:val="20"/>
        </w:rPr>
        <w:t>The valuation is the primary concern. Forward PE of 33.4x and PEG of 2.66 price in near-perfection for a business growing revenue at 10% and earning 13.8% net margins [3]. Q1 2026 operating margin declined 120bps YoY to 16.1%, and EPS was flat despite 10% revenue growth, suggesting margin compression from acquisition integration costs and labor inflation [1]. The pest control industry faces structural challenges: labor shortages drive technician wage inflation, stricter pesticide regulations (EPA 2026 Pesticide General Permit, neonicotinoid bans) increase compliance costs, and the Rentokil-Terminix combination creates a well-capitalized competitor with scale advantages. Any deceleration in organic growth below 7% or sustained margin pressure could trigger multiple compression from the premium valuation, creating meaningful downside risk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organic revenue growth acceleration toward 7-8% target fueled by commercial pest control (+7.7% organic) and termite/ancillary services (+9.8% organic), the two highest-growth segments [1]</w:t>
      </w:r>
    </w:p>
    <w:p>
      <w:pPr>
        <w:spacing w:before="40" w:after="40"/>
        <w:ind w:left="283"/>
      </w:pPr>
      <w:r>
        <w:rPr>
          <w:rFonts w:ascii="Calibri" w:hAnsi="Calibri"/>
          <w:b/>
          <w:color w:val="4A6B25"/>
          <w:sz w:val="20"/>
        </w:rPr>
        <w:t xml:space="preserve">2. </w:t>
      </w:r>
      <w:r>
        <w:rPr>
          <w:rFonts w:ascii="Calibri" w:hAnsi="Calibri"/>
          <w:b w:val="0"/>
          <w:color w:val="3A4A28"/>
          <w:sz w:val="20"/>
        </w:rPr>
        <w:t>M&amp;A pipeline execution at 2-3% annual revenue contribution from acquisitions in a fragmented $25B+ US pest control market, with leverage ratio of 0.9x providing ample acquisition capacity [1]</w:t>
      </w:r>
    </w:p>
    <w:p>
      <w:pPr>
        <w:spacing w:before="40" w:after="40"/>
        <w:ind w:left="283"/>
      </w:pPr>
      <w:r>
        <w:rPr>
          <w:rFonts w:ascii="Calibri" w:hAnsi="Calibri"/>
          <w:b/>
          <w:color w:val="4A6B25"/>
          <w:sz w:val="20"/>
        </w:rPr>
        <w:t xml:space="preserve">3. </w:t>
      </w:r>
      <w:r>
        <w:rPr>
          <w:rFonts w:ascii="Calibri" w:hAnsi="Calibri"/>
          <w:b w:val="0"/>
          <w:color w:val="3A4A28"/>
          <w:sz w:val="20"/>
        </w:rPr>
        <w:t>Technology modernization including Route Optimization AI driving operational efficiency gains that could reverse the Q1 2026 margin compression and expand adjusted operating margin above 17%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33.4x forward PE and 2.66 PEG leaves minimal margin of safety — any deceleration below 7% organic growth or sustained margin pressure could trigger significant multiple compression from $20.9B market cap</w:t>
      </w:r>
    </w:p>
    <w:p>
      <w:pPr>
        <w:spacing w:before="40" w:after="40"/>
        <w:ind w:left="283"/>
      </w:pPr>
      <w:r>
        <w:rPr>
          <w:rFonts w:ascii="Calibri" w:hAnsi="Calibri"/>
          <w:b/>
          <w:color w:val="4A6B25"/>
          <w:sz w:val="20"/>
        </w:rPr>
        <w:t xml:space="preserve">2. </w:t>
      </w:r>
      <w:r>
        <w:rPr>
          <w:rFonts w:ascii="Calibri" w:hAnsi="Calibri"/>
          <w:b w:val="0"/>
          <w:color w:val="3A4A28"/>
          <w:sz w:val="20"/>
        </w:rPr>
        <w:t>Q1 2026 operating margin compressed 120bps YoY to 16.1% with flat EPS despite 10% revenue growth, signaling labor cost inflation and acquisition integration expense are outpacing operating leverage</w:t>
      </w:r>
    </w:p>
    <w:p>
      <w:pPr>
        <w:spacing w:before="40" w:after="40"/>
        <w:ind w:left="283"/>
      </w:pPr>
      <w:r>
        <w:rPr>
          <w:rFonts w:ascii="Calibri" w:hAnsi="Calibri"/>
          <w:b/>
          <w:color w:val="4A6B25"/>
          <w:sz w:val="20"/>
        </w:rPr>
        <w:t xml:space="preserve">3. </w:t>
      </w:r>
      <w:r>
        <w:rPr>
          <w:rFonts w:ascii="Calibri" w:hAnsi="Calibri"/>
          <w:b w:val="0"/>
          <w:color w:val="3A4A28"/>
          <w:sz w:val="20"/>
        </w:rPr>
        <w:t>Regulatory headwinds from EPA 2026 Pesticide General Permit and state-level neonicotinoid restrictions increase compliance costs and require continuous formulation innovation to maintain treatment efficacy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Rollins' core business is structurally immune to AI disruption — pest control requires physical human presence at customer premises to inspect, apply chemical treatments, set traps, seal entry points, and manage biological pest populations [1][2]. No AI system can crawl under a house to treat for termites, spray for mosquitoes in a backyard, or inspect a restaurant for rodent activity. The service is inherently local, physical, and relationship-driven. AI actually increases demand indirectly: as data centers proliferate and commercial real estate expands, pest control needs grow. Regulatory requirements for licensed pest control technicians create additional barriers to AI substitution. Rollins' own deployment of Route Optimization AI demonstrates that AI is a pure enabler for this business — reducing costs and improving service delivery rather than threatening the core service model [2]. AI Opportunity (0/1): No AI-generated revenue products. AI is deployed operationally for route optimization and scheduling, but Rollins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Rollins Q1 2026 Financial Results — revenue $906.4M (+10.2% YoY), operating income $145.5M (+2.0%), 98th consecutive quarter of revenue growth, rollins.com and prnewswire.com, April 2026</w:t>
      </w:r>
    </w:p>
    <w:p>
      <w:pPr>
        <w:spacing w:before="20" w:after="20"/>
        <w:ind w:left="170"/>
      </w:pPr>
      <w:r>
        <w:rPr>
          <w:rFonts w:ascii="Calibri" w:hAnsi="Calibri"/>
          <w:b/>
          <w:color w:val="4A6B25"/>
          <w:sz w:val="15"/>
        </w:rPr>
        <w:t xml:space="preserve">2. </w:t>
      </w:r>
      <w:r>
        <w:rPr>
          <w:rFonts w:ascii="Calibri" w:hAnsi="Calibri"/>
          <w:b w:val="0"/>
          <w:color w:val="3A4A28"/>
          <w:sz w:val="17"/>
        </w:rPr>
        <w:t>'Bugs, Business, and Big Returns: A Deep Dive into Rollins, Inc.' — CEO Gahlhoff 35-year career, people first culture, Co-Lab initiative, AI route optimization, FinancialContent,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ROL Statistics: market cap $20.89B, forward PE 33.41, PEG 2.66, D/E 77%, ROE 38.67%, profit margin 13.77%, dividend yield 1.56%,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Rollins Medium-Term Growth Strategy — 7-8% organic growth target, 2-3% M&amp;A growth, leverage ratio 0.9x, stocktitan.net, 2026</w:t>
      </w:r>
    </w:p>
    <w:p>
      <w:pPr>
        <w:spacing w:before="20" w:after="20"/>
        <w:ind w:left="170"/>
      </w:pPr>
      <w:r>
        <w:rPr>
          <w:rFonts w:ascii="Calibri" w:hAnsi="Calibri"/>
          <w:b/>
          <w:color w:val="4A6B25"/>
          <w:sz w:val="15"/>
        </w:rPr>
        <w:t xml:space="preserve">5. </w:t>
      </w:r>
      <w:r>
        <w:rPr>
          <w:rFonts w:ascii="Calibri" w:hAnsi="Calibri"/>
          <w:b w:val="0"/>
          <w:color w:val="3A4A28"/>
          <w:sz w:val="17"/>
        </w:rPr>
        <w:t>EPA 2026 Pesticide General Permit — new NPDES permitting requirements effective October 2026, epa.gov, December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