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RRX</w:t>
      </w:r>
      <w:r>
        <w:rPr>
          <w:rFonts w:ascii="Calibri" w:hAnsi="Calibri"/>
          <w:b/>
          <w:color w:val="1A2010"/>
          <w:sz w:val="40"/>
        </w:rPr>
        <w:t xml:space="preserve">  Regal Rexnord Corporation</w:t>
      </w:r>
    </w:p>
    <w:p>
      <w:pPr>
        <w:spacing w:after="120"/>
      </w:pPr>
      <w:r>
        <w:rPr>
          <w:rFonts w:ascii="Calibri" w:hAnsi="Calibri"/>
          <w:b/>
          <w:color w:val="6E8450"/>
          <w:sz w:val="18"/>
        </w:rPr>
        <w:t>GROWTH SLEEVE · 2026-08-08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Motion Control · NYSE · United States</w:t>
      </w:r>
    </w:p>
    <w:p>
      <w:pPr>
        <w:spacing w:after="80"/>
      </w:pPr>
      <w:r>
        <w:rPr>
          <w:rFonts w:ascii="Calibri" w:hAnsi="Calibri"/>
          <w:b w:val="0"/>
          <w:color w:val="3A4A28"/>
          <w:sz w:val="20"/>
        </w:rPr>
        <w:t>Regal Rexnord is a global manufacturer of electric motors, power transmission components, motion control systems, and industrial powertrain solutions. Formed through the 2022 merger of Regal Beloit and Rexnord, the company serves diverse end markets including industrial automation, data centers, food &amp; beverage, HVAC, and water management. Key product lines include Perceptive Technologies, Browning bearings, Falk gearboxes, and Marathon motors. Projected FY2026 revenue of ~$6.2B.</w:t>
      </w:r>
    </w:p>
    <w:p>
      <w:r>
        <w:rPr>
          <w:rFonts w:ascii="Calibri" w:hAnsi="Calibri"/>
          <w:b/>
          <w:color w:val="6E8450"/>
          <w:sz w:val="18"/>
        </w:rPr>
        <w:t>28,000 Employees · https://www.regalrexnord.com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transformative 2022 merger of Regal Beloit and Rexnord ($5.6B transaction) created a new industrial motion platform with significantly expanded capabilities across motors, drives, bearings, couplings, and gearboxes — a genuine business model transformation that redefined the company [1][2]. Post-merger integration has delivered synergies and portfolio rationalization. AI Deployment (1/2): Regal Rexnord developed RRXy (customer-facing generative AI chatbot) and RRXGPT (internal employee chatbot) through hackathons, and deployed AI-powered empathy coaching to 4,000 leaders through Microsoft Teams [2]. These are shipping AI tools but not yet generating quantified revenue gains. Market Share (1/2): Regal Rexnord is a meaningful player in industrial motion control and power transmission, competing with larger players like ABB, Siemens, and Nidec. The combined entity holds leadership positions in specific niches (small motors, process &amp; motion control) [1]. Product Pipeline (1/2): Product development focused on data center infrastructure components (cooling motors, power management), automation solutions, and energy-efficient motor platforms for evolving end markets [1][2]. R&amp;D Intensity (1/1): R&amp;D investment is competitive for the industrial machinery sector, with significant spending on digital innovation, AI tools, and next-generation motion control platforms.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'Create a Better Tomorrow with Sustainable Solutions that Power, Transmit, and Control Motion' is specific to what Regal Rexnord does, connects the company's work to sustainability, and identifies a clear purpose [3]. However, the mission is relatively new (post-2022 merger identity) and hasn't been validated through extended execution or crisis. It's clear and differentiated from generic industrial language but doesn't yet demonstrate the depth of purpose that inspires sacrifice. Community Impact (0/2): Company values mention being 'dedicated to local communities,' and the sustainability report shows community engagement, but no specific charitable programs, dollar amounts, or distinctive community investments were identified [3][4]. Employee Retention (0/2): AI-powered empathy coaching for 4,000 leaders is a positive investment signal, but no specific retention, tenure, or turnover data is publicly available. Post-merger integration creates inherent organizational uncertainty [2]. Insider Buying (0/2): No evidence of meaningful net insider buying in the last 12 months; only routine RSU grants and dividend-equivalent stock units identified in SEC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CY2026 delivered $1.56B revenue (4.2% YoY, 3.3% organic) with adjusted EBITDA of $366.6M (11.2% growth) and adjusted diluted EPS of $2.99 (20.6% growth), though results included a $32M IEEPA tariff refund boosting EPS by $0.39 [1]. Full-year 2026 guidance narrows to adjusted EPS of $10.35-$10.85 (mid $10.60, ~10% growth) with ~$6.2B revenue and $650M free cash flow. GAAP metrics are severely distorted by ~$400M+ annual intangible amortization from the Rexnord acquisition — GAAP profit margin of 4.78% and ROE of 4.34% significantly understate operating performance [1][5]. D/E of 71% is near target, though the company carries substantial absolute debt (~$4.5B) from the merger. Forward P/E of ~17 on adjusted earnings is attractive for a diversified industrial. Stock dropped ~17% post-Q2 earnings to ~$183 after revenue missed estimates despite beating on adjusted EPS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Regal Rexnord is in the early stages of establishing its infinite game identity following the transformative 2022 merger. The bold combination of Regal Beloit and Rexnord demonstrated genuine existential flexibility, and the company's investment in AI-powered leadership coaching and hackathon-driven innovation culture shows commitment to building a forward-looking organization. However, the mission is new and untested, and the company has yet to demonstrate the multi-decade consistency of purpose that characterizes true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'Create a Better Tomorrow with Sustainable Solutions that Power, Transmit, and Control Motion' is a thoughtful purpose statement that connects the company's engineering work to a larger sustainability vision [3]. However, this identity was formulated post-2022 merger and has not been tested through crisis, leadership transition, or multi-decade consistency. Sinek would ask: does this cause endure beyond the current leadership team? The answer is uncertain — the cause is aspirational but shallow, lacking the depth of validated purpose that drives true infinite game players.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Regal Rexnord's investment in AI-powered empathy coaching for 4,000 leaders demonstrates genuine commitment to building emotional intelligence and trust within the leadership ranks [2]. The hackathon culture — events in both Chicago and Hyderabad — suggests an innovation-friendly environment that empowers employees to create (RRXy chatbot originated from a hackathon). However, post-merger integration inherently creates organizational uncertainty, and no specific retention or satisfaction data supports exceptional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Regal Rexnord operates in a competitive industrial landscape with ABB, Siemens, Emerson, and Nidec as significant rivals. No specific evidence was found of management acknowledging competitors' strengths as motivation for self-improvement, or framing competition in infinite-game terms. The company's language focuses on market positioning and share gains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Regal Beloit + Rexnord merger represents a genuine strategic transformation — both companies abandoned their standalone identities to create something fundamentally new [1]. Regal Beloit pivoted from being primarily a motor manufacturer to becoming a comprehensive industrial motion platform spanning motors, drives, bearings, couplings, gearboxes, and power transmission. This was a transformative reinvention of the company's scope and market positioning, driven by the strategic vision of creating a complete motion solutions provider rather than desperation.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$5.6B Rexnord acquisition was a genuinely bold strategic bet — fundamentally transforming Regal Beloit from a motor-focused company into a comprehensive motion control platform [1]. This required accepting significant execution risk, integration complexity, and balance sheet leverage. The decision to maintain adjusted EPS guidance despite tariff headwinds in Q1-Q2 2026 (absorbing costs while implementing pricing actions) demonstrates willingness to prioritize long-term positioning over short-term earnings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Regal Rexnord offers a compelling industrial motion platform positioned at the intersection of automation, electrification, and AI infrastructure — three secular growth themes that expand the addressable market for motors, drives, and power transmission components [1][2]. Q2 CY2026 adjusted EPS of $2.99 (20.6% growth) and full-year guidance of $10.35-$10.85 adjusted EPS demonstrate improving operating leverage post-Rexnord integration. At ~$183 post-earnings (17x forward adjusted earnings), the stock trades at a meaningful discount to industrial peers, with $650M guided free cash flow supporting debt reduction and potential multiple re-rating as the integration matures. The company's AI infrastructure exposure — cooling motors, power management for data centers — provides an underappreciated growth vector.</w:t>
      </w:r>
    </w:p>
    <w:p>
      <w:pPr>
        <w:spacing w:after="120"/>
      </w:pPr>
      <w:r>
        <w:rPr>
          <w:rFonts w:ascii="Calibri" w:hAnsi="Calibri"/>
          <w:b w:val="0"/>
          <w:color w:val="3A4A28"/>
          <w:sz w:val="20"/>
        </w:rPr>
        <w:t>The bear case centers on execution risk and GAAP reality. GAAP metrics paint a challenging picture — 4.78% net margin, 4.34% ROE, and trailing GAAP PE of 40x reflect the ~$400M+ annual intangible amortization burden from the $5.6B Rexnord acquisition [1][5]. Organic revenue growth of 3.3% in Q2 was modest, and Q2 revenue of $1.56B missed analyst estimates, triggering a 17% stock decline. Full-year revenue guidance of ~$6.2B implies only 4.5% growth in a year when many industrials are seeing stronger demand. Tariff headwinds created Q1-Q2 margin pressure, with a $32M IEEPA refund artificially boosting Q2 adjusted results by $0.39 EPS [1]. The $4.5B debt load constrains financial flexibility, and the post-merger integration — while progressing — continues to absorb management attention and resources three years after close.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buildout driving incremental demand for cooling motors, power management components, and precision motion control products as hyperscale infrastructure spending accelerates</w:t>
      </w:r>
    </w:p>
    <w:p>
      <w:pPr>
        <w:spacing w:before="40" w:after="40"/>
        <w:ind w:left="283"/>
      </w:pPr>
      <w:r>
        <w:rPr>
          <w:rFonts w:ascii="Calibri" w:hAnsi="Calibri"/>
          <w:b/>
          <w:color w:val="4A6B25"/>
          <w:sz w:val="20"/>
        </w:rPr>
        <w:t xml:space="preserve">2. </w:t>
      </w:r>
      <w:r>
        <w:rPr>
          <w:rFonts w:ascii="Calibri" w:hAnsi="Calibri"/>
          <w:b w:val="0"/>
          <w:color w:val="3A4A28"/>
          <w:sz w:val="20"/>
        </w:rPr>
        <w:t>Post-Rexnord integration synergies fully materializing in H2 2026 and FY2027, with shippable backlog mix improvement supporting margin expansion toward the 20-21% adjusted EBIT target</w:t>
      </w:r>
    </w:p>
    <w:p>
      <w:pPr>
        <w:spacing w:before="40" w:after="40"/>
        <w:ind w:left="283"/>
      </w:pPr>
      <w:r>
        <w:rPr>
          <w:rFonts w:ascii="Calibri" w:hAnsi="Calibri"/>
          <w:b/>
          <w:color w:val="4A6B25"/>
          <w:sz w:val="20"/>
        </w:rPr>
        <w:t xml:space="preserve">3. </w:t>
      </w:r>
      <w:r>
        <w:rPr>
          <w:rFonts w:ascii="Calibri" w:hAnsi="Calibri"/>
          <w:b w:val="0"/>
          <w:color w:val="3A4A28"/>
          <w:sz w:val="20"/>
        </w:rPr>
        <w:t>Debt reduction trajectory using $650M annual free cash flow to delever from ~$4.5B, improving GAAP profitability as interest expense declines and positioning for potential credit upgrade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remains distorted by $400M+ annual intangible amortization from Rexnord acquisition, with GAAP ROE of 4.34% and net margin of 4.78% masking adjusted operating performance</w:t>
      </w:r>
    </w:p>
    <w:p>
      <w:pPr>
        <w:spacing w:before="40" w:after="40"/>
        <w:ind w:left="283"/>
      </w:pPr>
      <w:r>
        <w:rPr>
          <w:rFonts w:ascii="Calibri" w:hAnsi="Calibri"/>
          <w:b/>
          <w:color w:val="4A6B25"/>
          <w:sz w:val="20"/>
        </w:rPr>
        <w:t xml:space="preserve">2. </w:t>
      </w:r>
      <w:r>
        <w:rPr>
          <w:rFonts w:ascii="Calibri" w:hAnsi="Calibri"/>
          <w:b w:val="0"/>
          <w:color w:val="3A4A28"/>
          <w:sz w:val="20"/>
        </w:rPr>
        <w:t>Organic revenue growth of just 3.3% in Q2 2026 raises questions about underlying demand strength and pricing power outside of tariff-related dynamics</w:t>
      </w:r>
    </w:p>
    <w:p>
      <w:pPr>
        <w:spacing w:before="40" w:after="40"/>
        <w:ind w:left="283"/>
      </w:pPr>
      <w:r>
        <w:rPr>
          <w:rFonts w:ascii="Calibri" w:hAnsi="Calibri"/>
          <w:b/>
          <w:color w:val="4A6B25"/>
          <w:sz w:val="20"/>
        </w:rPr>
        <w:t xml:space="preserve">3. </w:t>
      </w:r>
      <w:r>
        <w:rPr>
          <w:rFonts w:ascii="Calibri" w:hAnsi="Calibri"/>
          <w:b w:val="0"/>
          <w:color w:val="3A4A28"/>
          <w:sz w:val="20"/>
        </w:rPr>
        <w:t>Industrial cycle sensitivity across diversified end markets (HVAC, food &amp; beverage, general industrial) creates vulnerability to synchronized economic slowdown affecting multiple segments simultaneously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Regal Rexnord manufactures physical motion control components — motors, drives, bearings, gears, couplings — that are structurally immune to AI disruption [1][2]. These physical products require precision engineering, manufacturing expertise, and material science that AI cannot replicate. Moreover, AI data center buildout is INCREASING demand for RRX's products — cooling system motors, power management components, and precision motion control are essential infrastructure for AI compute facilities [2]. Industrial automation driven by AI further expands the addressable market for motion components. One bearish analyst flagged potential risk from AI-enabled platforms changing how manufacturing equipment is specified, but this represents channel disruption rather than product substitution. AI Opportunity (0/1): While RRX supplies components into AI data center infrastructure and benefits from AI-driven automation demand, the company does not generate specifically quantified AI product revenue. RRXy and RRXGPT are operational efficiency tools, not revenue-generating AI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Regal Rexnord Q2 CY2026 Earnings Results and FY2026 Guidance — SEC 8-K, PRNewswire, StockStory, August 2026</w:t>
      </w:r>
    </w:p>
    <w:p>
      <w:pPr>
        <w:spacing w:before="20" w:after="20"/>
        <w:ind w:left="170"/>
      </w:pPr>
      <w:r>
        <w:rPr>
          <w:rFonts w:ascii="Calibri" w:hAnsi="Calibri"/>
          <w:b/>
          <w:color w:val="4A6B25"/>
          <w:sz w:val="15"/>
        </w:rPr>
        <w:t xml:space="preserve">2. </w:t>
      </w:r>
      <w:r>
        <w:rPr>
          <w:rFonts w:ascii="Calibri" w:hAnsi="Calibri"/>
          <w:b w:val="0"/>
          <w:color w:val="3A4A28"/>
          <w:sz w:val="17"/>
        </w:rPr>
        <w:t>Regal Rexnord Digital Innovation, AI Initiatives, and Leadership Development — Forbes, Amazon Music/Technovation Podcast, WindowsNews, 2025-2026</w:t>
      </w:r>
    </w:p>
    <w:p>
      <w:pPr>
        <w:spacing w:before="20" w:after="20"/>
        <w:ind w:left="170"/>
      </w:pPr>
      <w:r>
        <w:rPr>
          <w:rFonts w:ascii="Calibri" w:hAnsi="Calibri"/>
          <w:b/>
          <w:color w:val="4A6B25"/>
          <w:sz w:val="15"/>
        </w:rPr>
        <w:t xml:space="preserve">3. </w:t>
      </w:r>
      <w:r>
        <w:rPr>
          <w:rFonts w:ascii="Calibri" w:hAnsi="Calibri"/>
          <w:b w:val="0"/>
          <w:color w:val="3A4A28"/>
          <w:sz w:val="17"/>
        </w:rPr>
        <w:t>Regal Rexnord Mission, Vision, Values — DCFmodeling.com, RegalRexnord.com, Indeed,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Regal Rexnord Sustainability Report and ESG Performance — Sustainalytics, CSRHub, MarketScreener, 2024-2026</w:t>
      </w:r>
    </w:p>
    <w:p>
      <w:pPr>
        <w:spacing w:before="20" w:after="20"/>
        <w:ind w:left="170"/>
      </w:pPr>
      <w:r>
        <w:rPr>
          <w:rFonts w:ascii="Calibri" w:hAnsi="Calibri"/>
          <w:b/>
          <w:color w:val="4A6B25"/>
          <w:sz w:val="15"/>
        </w:rPr>
        <w:t xml:space="preserve">5. </w:t>
      </w:r>
      <w:r>
        <w:rPr>
          <w:rFonts w:ascii="Calibri" w:hAnsi="Calibri"/>
          <w:b w:val="0"/>
          <w:color w:val="3A4A28"/>
          <w:sz w:val="17"/>
        </w:rPr>
        <w:t>Regal Rexnord Financial Statistics — StockAnalysis.com, Yahoo Finance, GuruFocus,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