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RSI</w:t>
      </w:r>
      <w:r>
        <w:rPr>
          <w:rFonts w:ascii="Calibri" w:hAnsi="Calibri"/>
          <w:b/>
          <w:color w:val="1A2010"/>
          <w:sz w:val="40"/>
        </w:rPr>
        <w:t xml:space="preserve">  Rush Street Interactive, Inc.</w:t>
      </w:r>
    </w:p>
    <w:p>
      <w:pPr>
        <w:spacing w:after="120"/>
      </w:pPr>
      <w:r>
        <w:rPr>
          <w:rFonts w:ascii="Calibri" w:hAnsi="Calibri"/>
          <w:b/>
          <w:color w:val="6E8450"/>
          <w:sz w:val="18"/>
        </w:rPr>
        <w:t>GROWTH SLEEVE · 2026-07-18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Gambling · NYSE · United States</w:t>
      </w:r>
    </w:p>
    <w:p>
      <w:pPr>
        <w:spacing w:after="80"/>
      </w:pPr>
      <w:r>
        <w:rPr>
          <w:rFonts w:ascii="Calibri" w:hAnsi="Calibri"/>
          <w:b w:val="0"/>
          <w:color w:val="3A4A28"/>
          <w:sz w:val="20"/>
        </w:rPr>
        <w:t>Rush Street Interactive, Inc. develops, supplies, and operates regulated online casino (iCasino) and sports betting platforms under the BetRivers and PlaySugarHouse brands across the United States, Canada, and Latin America. Co-founded and led by CEO Richard Schwartz since 2012, the company is headquartered in Chicago, Illinois, and has scaled through North American iCasino share gains and Latin American (Mexico, Colombia) market expansion, on a proprietary in-house technology platform.</w:t>
      </w:r>
    </w:p>
    <w:p>
      <w:r>
        <w:rPr>
          <w:rFonts w:ascii="Calibri" w:hAnsi="Calibri"/>
          <w:b/>
          <w:color w:val="6E8450"/>
          <w:sz w:val="18"/>
        </w:rPr>
        <w:t>912 Employees · https://www.rushstreetinteractive.com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RSI has driven record results through disciplined execution — Q1 2026 revenue of $370.4M (+41% YoY), net income up 134%, and Adjusted EBITDA up 81% — anchored by an accelerating Latin American expansion (Mexico, Colombia) that has become a meaningful second growth engine alongside the core North American iCasino/sportsbook business, built on a proprietary technology stack rather than third-party platforms [1]. AI Deployment (1/2): CEO Richard Schwartz frames innovation and personalization — 'using real insights to build experiences that fit players' gaming needs' — as central to efficient acquisition and retention, and Schwartz holds 50 patents, but no specific quantified AI cost savings or dedicated AI product was cited in available sources this cycle [2]. Market Share (2/2): Management explicitly cited 'faster-than-expected growth in North American iCasino market share' as a driver of the FY2026 guidance raise, with North American MAUs up 46% YoY (62% in online casino) and LatAm MAUs up 54% YoY [1]. Product Pipeline (0/2): No specific named next-generation product or new-market launch with a firm date was identified in this research cycle. R&amp;D Intensity (0/1): No R&amp;D-as-%-of-revenue data was found for RSI's technology platform.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RSI's stated commitment to 'transparency, honesty, and fairness' with a strong responsible-gaming emphasis is clear and industry-relevant, but this framing is fairly standard across regulated gaming operators rather than a distinctively differentiated purpose [2]. Community Impact (2/2): RSI was the first US-based online casino/sportsbook operator to receive RG Check iGaming Accreditation from the Responsible Gambling Council, has been a National Council on Problem Gambling member since 2019, and expanded its responsible-gaming risk-rating and case-management systems in 2025 — a distinctive, well-documented harm-mitigation investment for a gambling operator [3]. Employee Retention (1/2): The October 2025 promotion of CFO Kyle Sauers to President (retaining the CFO title) reflects internal talent development, with CEO Schwartz citing Sauers' 'collaborative style' and 'strategic insight,' though no company-wide tenure or turnover statistics were found [5]. Insider Buying (0/2): CEO Schwartz has been a persistent net seller — $4.35M on Feb 4, 2026, $1.99M on Apr 1, 2026, an additional sale on Apr 16, 2026, and $4.94M on Jul 1, 2026 under a pre-arranged 10b5-1 plan — with zero offsetting open-market purchases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 no dividend; liquidity floor not triggered: 3,310,002 avg daily volume x $32.50 = ~$107.6M) [6]. RSI's balance sheet is exceptionally strong for the sector — D/E of just 0.02 (2%) and a net cash position of $336.32M against only $6.13M of debt — while ROE of 34.65% comfortably clears the 15% target [6]. TTM revenue growth of 28.2% and a 23.4% five-year revenue CAGR both far exceed the 10% targets, though the 2.98% profit margin (thin relative to revenue scale) and elevated 49.0x forward P/E temper the overall score. Colombia's 2025 tax-framework changes reduced revenue by an estimated $70M and Adjusted EBITDA by $25-30M, a reminder that reported growth already absorbs meaningful regulatory headwinds in Latin America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Rush Street has built genuine, industry-leading responsible-gaming infrastructure, 14 years of founder-CEO continuity, and a deliberate casino-first strategy that avoids a head-to-head marketing war with larger sports-betting rivals — real evidence of infinite-minded positioning. That is offset by CEO Schwartz's persistent, sizable net insider selling and the inherently finite, consumer-spend-extraction nature of the gambling category.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RSI's transparency/fairness/responsible-gaming commitments are genuinely lived out (first RG Check accreditation, NCPG membership since 2019) but operate within an inherently finite, consumer-spend-extraction business category, falling short of a resilient, field-defining Just Cause [2][3].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Richard Schwartz has led RSI continuously since its 2012 founding, and the October 2025 promotion of CFO Kyle Sauers to President — with Schwartz publicly crediting Sauers' 'collaborative style' — signals internal trust and leadership development, though no company-wide tenure or turnover data was found to support a top score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Rather than trying to outspend DraftKings and FanDuel in the sports-betting marketing arms race, RSI has deliberately positioned itself as a casino-first operator — an explicit acknowledgment of larger rivals' strength in sports betting and a choice to compete on a different, higher-margin dimension rather than a head-on share war, consistent with an infinite competitive mindset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RSI's expansion beyond the US into Mexico and Colombia, and its mix-shift toward higher-margin iCasino from sports betting, represent real geographic and product diversification, though this is incremental expansion rather than a fundamental business-model reinvention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Continued investment in Latin American market entry and expanded responsible-gaming risk-rating systems in 2025 — even after Colombia's 2025 tax changes cut an estimated $70M of revenue and $25-30M of Adjusted EBITDA — suggests some principled long-term orientation, though CEO Schwartz's persistent net share selling ($4.35M, $1.99M, and $4.94M across February, April, and July 2026 alone) undercuts the conviction signal [1][3][4].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Rush Street Interactive delivered record Q1 2026 results — revenue of $370.4M (+41% YoY), net income of $26.2M (+134%), and Adjusted EBITDA of $60.2M (+81%) — and raised full-year 2026 guidance to $1.49-1.54B revenue (+31-36%) and $230-250M Adjusted EBITDA (+50-63%), driven by North American iCasino share gains and accelerating Latin American growth (543,000 MAUs, +54% YoY) [1]. The balance sheet is pristine for the sector, with a net cash position of $336.32M and D/E of just 2%, and the company's responsible-gaming leadership (first RG Check accreditation in the US) and deliberate casino-first competitive positioning provide some insulation as state-by-state legalization continues [1][3][6].</w:t>
      </w:r>
    </w:p>
    <w:p>
      <w:pPr>
        <w:spacing w:after="120"/>
      </w:pPr>
      <w:r>
        <w:rPr>
          <w:rFonts w:ascii="Calibri" w:hAnsi="Calibri"/>
          <w:b w:val="0"/>
          <w:color w:val="3A4A28"/>
          <w:sz w:val="20"/>
        </w:rPr>
        <w:t>Valuation is demanding — a 93x trailing and 49x forward P/E price in years of continued 30%+ growth, and the 2.98% GAAP profit margin remains thin relative to the revenue base despite the strong EBITDA trajectory, leaving limited room for a growth deceleration surprise [6]. CEO Richard Schwartz has been a persistent and sizable net seller of stock — $4.35M in February, $1.99M in April, an additional April sale, and $4.94M in July 2026 alone, with zero offsetting purchases — a pattern that, combined with Colombia's 2025 tax-framework change (an estimated $70M revenue and $25-30M EBITDA hit), tempers the growth narrative [4]. RSI's Inspire Insight faith-alignment score of -1 also reflects a negative 'Gambling' attribution that will disqualify it for many values-based mandates regardless of financial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raised to $1.49-1.54B revenue (+31-36%) on North American iCasino share gains and Latin American momentum, with potential for further beat-and-raise quarters if MAU growth (46-54% YoY) persists</w:t>
      </w:r>
    </w:p>
    <w:p>
      <w:pPr>
        <w:spacing w:before="40" w:after="40"/>
        <w:ind w:left="283"/>
      </w:pPr>
      <w:r>
        <w:rPr>
          <w:rFonts w:ascii="Calibri" w:hAnsi="Calibri"/>
          <w:b/>
          <w:color w:val="4A6B25"/>
          <w:sz w:val="20"/>
        </w:rPr>
        <w:t xml:space="preserve">2. </w:t>
      </w:r>
      <w:r>
        <w:rPr>
          <w:rFonts w:ascii="Calibri" w:hAnsi="Calibri"/>
          <w:b w:val="0"/>
          <w:color w:val="3A4A28"/>
          <w:sz w:val="20"/>
        </w:rPr>
        <w:t>Continued Latin American expansion (Mexico, Colombia) diversifying revenue beyond the mature US regulated-betting market, despite the 2025 Colombia tax setback</w:t>
      </w:r>
    </w:p>
    <w:p>
      <w:pPr>
        <w:spacing w:before="40" w:after="40"/>
        <w:ind w:left="283"/>
      </w:pPr>
      <w:r>
        <w:rPr>
          <w:rFonts w:ascii="Calibri" w:hAnsi="Calibri"/>
          <w:b/>
          <w:color w:val="4A6B25"/>
          <w:sz w:val="20"/>
        </w:rPr>
        <w:t xml:space="preserve">3. </w:t>
      </w:r>
      <w:r>
        <w:rPr>
          <w:rFonts w:ascii="Calibri" w:hAnsi="Calibri"/>
          <w:b w:val="0"/>
          <w:color w:val="3A4A28"/>
          <w:sz w:val="20"/>
        </w:rPr>
        <w:t>Margin expansion toward the guided $230-250M Adjusted EBITDA range as the North American iCasino mix continues to grow relative to lower-margin sports betting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93x trailing / 49x forward P/E valuation leaves little room for error if the 30%+ revenue growth rate decelerates</w:t>
      </w:r>
    </w:p>
    <w:p>
      <w:pPr>
        <w:spacing w:before="40" w:after="40"/>
        <w:ind w:left="283"/>
      </w:pPr>
      <w:r>
        <w:rPr>
          <w:rFonts w:ascii="Calibri" w:hAnsi="Calibri"/>
          <w:b/>
          <w:color w:val="4A6B25"/>
          <w:sz w:val="20"/>
        </w:rPr>
        <w:t xml:space="preserve">2. </w:t>
      </w:r>
      <w:r>
        <w:rPr>
          <w:rFonts w:ascii="Calibri" w:hAnsi="Calibri"/>
          <w:b w:val="0"/>
          <w:color w:val="3A4A28"/>
          <w:sz w:val="20"/>
        </w:rPr>
        <w:t>CEO Richard Schwartz's persistent net insider selling ($4.35M, $1.99M, and $4.94M in three separate 2026 transactions alone, with zero purchases) raises questions about insider conviction at current valuations</w:t>
      </w:r>
    </w:p>
    <w:p>
      <w:pPr>
        <w:spacing w:before="40" w:after="40"/>
        <w:ind w:left="283"/>
      </w:pPr>
      <w:r>
        <w:rPr>
          <w:rFonts w:ascii="Calibri" w:hAnsi="Calibri"/>
          <w:b/>
          <w:color w:val="4A6B25"/>
          <w:sz w:val="20"/>
        </w:rPr>
        <w:t xml:space="preserve">3. </w:t>
      </w:r>
      <w:r>
        <w:rPr>
          <w:rFonts w:ascii="Calibri" w:hAnsi="Calibri"/>
          <w:b w:val="0"/>
          <w:color w:val="3A4A28"/>
          <w:sz w:val="20"/>
        </w:rPr>
        <w:t>Category-level regulatory and tax risk is already material — Colombia's 2025 tax framework change cut an estimated $70M of revenue and $25-30M of Adjusted EBITDA — and a negative 'Gambling' Inspire Insight attribution limits the addressable values-aligned investor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RSI's regulated market-access licenses, established player relationships, and proprietary player-behavior data create real moats against disintermediation, and the company is more likely to deploy AI (fraud detection, personalization, dynamic odds) than be displaced by it [2]. However, online gaming is a software-and-data business rather than a physical-world operation, so a well-capitalized AI-native entrant into regulated online betting remains a longer-term structural risk that keeps this out of the top Immune tier; no analyst commentary was found flagging near-term AI disruption to RSI specifically. AI Opportunity (0/1): Personalization and player-insight technology are referenced qualitatively as growth drivers, but no distinct, quantified AI revenue figure was cited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Rush Street Interactive Q1 2026 Results and Raised FY2026 Guidance — SEC 8-K / ir.rushstreetinteractive.com, May 2026</w:t>
      </w:r>
    </w:p>
    <w:p>
      <w:pPr>
        <w:spacing w:before="20" w:after="20"/>
        <w:ind w:left="170"/>
      </w:pPr>
      <w:r>
        <w:rPr>
          <w:rFonts w:ascii="Calibri" w:hAnsi="Calibri"/>
          <w:b/>
          <w:color w:val="4A6B25"/>
          <w:sz w:val="15"/>
        </w:rPr>
        <w:t xml:space="preserve">2. </w:t>
      </w:r>
      <w:r>
        <w:rPr>
          <w:rFonts w:ascii="Calibri" w:hAnsi="Calibri"/>
          <w:b w:val="0"/>
          <w:color w:val="3A4A28"/>
          <w:sz w:val="17"/>
        </w:rPr>
        <w:t>Rush Street Interactive CEO Richard Schwartz Leadership and Innovation Commentary — Clay.com / company statements,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Rush Street Interactive Responsible Gaming Accreditation and Programs — Responsible Gambling Council / iGB / rushstreetinteractive.com,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Rush Street Interactive CEO Insider Selling and Colombia Tax Impact — Investing.com / Benzinga / GuruFocus, February-July 2026</w:t>
      </w:r>
    </w:p>
    <w:p>
      <w:pPr>
        <w:spacing w:before="20" w:after="20"/>
        <w:ind w:left="170"/>
      </w:pPr>
      <w:r>
        <w:rPr>
          <w:rFonts w:ascii="Calibri" w:hAnsi="Calibri"/>
          <w:b/>
          <w:color w:val="4A6B25"/>
          <w:sz w:val="15"/>
        </w:rPr>
        <w:t xml:space="preserve">5. </w:t>
      </w:r>
      <w:r>
        <w:rPr>
          <w:rFonts w:ascii="Calibri" w:hAnsi="Calibri"/>
          <w:b w:val="0"/>
          <w:color w:val="3A4A28"/>
          <w:sz w:val="17"/>
        </w:rPr>
        <w:t>Rush Street Interactive Promotes Kyle Sauers to President — ir.rushstreetinteractive.com / GlobeNewswire / SBC Americas, October 2025</w:t>
      </w:r>
    </w:p>
    <w:p>
      <w:pPr>
        <w:spacing w:before="20" w:after="20"/>
        <w:ind w:left="170"/>
      </w:pPr>
      <w:r>
        <w:rPr>
          <w:rFonts w:ascii="Calibri" w:hAnsi="Calibri"/>
          <w:b/>
          <w:color w:val="4A6B25"/>
          <w:sz w:val="15"/>
        </w:rPr>
        <w:t xml:space="preserve">6. </w:t>
      </w:r>
      <w:r>
        <w:rPr>
          <w:rFonts w:ascii="Calibri" w:hAnsi="Calibri"/>
          <w:b w:val="0"/>
          <w:color w:val="3A4A28"/>
          <w:sz w:val="17"/>
        </w:rPr>
        <w:t>Rush Street Interactive (RSI) Statistics &amp; Financials — stockanalysis.com,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