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RTO</w:t>
      </w:r>
      <w:r>
        <w:rPr>
          <w:rFonts w:ascii="Calibri" w:hAnsi="Calibri"/>
          <w:b/>
          <w:color w:val="1A2010"/>
          <w:sz w:val="40"/>
        </w:rPr>
        <w:t xml:space="preserve">  Rentokil Initial plc</w:t>
      </w:r>
    </w:p>
    <w:p>
      <w:pPr>
        <w:spacing w:after="120"/>
      </w:pPr>
      <w:r>
        <w:rPr>
          <w:rFonts w:ascii="Calibri" w:hAnsi="Calibri"/>
          <w:b/>
          <w:color w:val="6E8450"/>
          <w:sz w:val="18"/>
        </w:rPr>
        <w:t>DIVIDEND SLEEVE · 2026-07-27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Environmental &amp; Facilities Services · NYSE · United Kingdom</w:t>
      </w:r>
    </w:p>
    <w:p>
      <w:pPr>
        <w:spacing w:after="80"/>
      </w:pPr>
      <w:r>
        <w:rPr>
          <w:rFonts w:ascii="Calibri" w:hAnsi="Calibri"/>
          <w:b w:val="0"/>
          <w:color w:val="3A4A28"/>
          <w:sz w:val="20"/>
        </w:rPr>
        <w:t>Rentokil Initial plc is the world's largest pest control company, also providing hygiene and wellbeing services globally. Following the $6.7B acquisition of Terminix in October 2022, the company operates in over 90 countries with ~45,000 employees. North America pest control is the dominant revenue driver at ~$4B annually. Q1 2026 revenue was $1.68B, up 4.3% at constant currency with 3.4% organic growth.</w:t>
      </w:r>
    </w:p>
    <w:p>
      <w:r>
        <w:rPr>
          <w:rFonts w:ascii="Calibri" w:hAnsi="Calibri"/>
          <w:b/>
          <w:color w:val="6E8450"/>
          <w:sz w:val="18"/>
        </w:rPr>
        <w:t>45,000 Employees · https://www.rentokil-initial.com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transformative $6.7B Terminix acquisition in 2022 doubled Rentokil's scale and made it the world's largest pest control company, but this was consolidation rather than product innovation [1]. The FY2025 pivot from a monolithic Terminix IT integration to a decentralized, AI-driven operating model represents a meaningful strategic shift [2]. AI Deployment (1/2): PestConnect Optix uses AI and machine learning for 24/7 remote pest monitoring with automated detection and response, deployed across commercial clients [3]. AI-driven route density optimization is reducing technician drive time and improving service efficiency, though specific cost savings have not been publicly quantified [2]. Market Share (2/2): Undisputed global leader in pest control with ~$7B annual revenue, larger than Rollins (Orkin) by a significant margin. The Terminix acquisition cemented dominant North American market position with ~$4B in regional revenue [1]. Product Pipeline (1/2): Digital pest control expansion through PestConnect platform and AI-driven monitoring, but no specific next-generation products with defined launch dates or revenue targets [3]. R&amp;D Intensity (0/1): As a service-delivery business, R&amp;D spending is modest relative to technology peers, with investment focused on operational efficiency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Rentokil's stated purpose of 'Protecting People, Enhancing Lives' is clear about the company's role in public health through pest control and hygiene services, but it is generic and interchangeable with many service companies — it does not articulate a distinctive vision of a better future [4]. Community Impact (0/2): No specific charitable foundations, community investment programs, or philanthropic initiatives with dollar amounts were identified in public materials. Employee Retention (0/2): Glassdoor rating of 3.6/5 overall masks significant regional disparity — Rentokil North America scores only 2.7/5 with 530 reviews citing integration challenges, cultural friction from the Terminix merger, and management turnover [5]. The troubled North America integration suggests meaningful employee dissatisfaction in the company's largest market. Insider Buying (0/2): New CEO Mike Duffy was appointed March 16, 2026, replacing Andy Ransom.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grew 3.8% to $6.91B in 2025 with organic growth of 2.6%, and adjusted operating profit rose 5.4% with margin expansion of 30bps to 15.5% [1]. However, GAAP net income declined 25% to $290M, yielding a thin 4.2% net margin well below the 20% target [1]. ROE of 5.13% is weak, reflecting the diluted equity base post-Terminix acquisition. D/E of 116% is elevated but within scoring range. Forward P/E of 21.36 is near the 20 target. The 5-year revenue CAGR of ~15% is strong but almost entirely acquisition-driven rather than organic. Dividend metrics are mixed: 2.07% yield with a 75% payout ratio above the 40% target, and post-COVID dividend resumption limits consecutive years paid to approximately 5 with 4 years of progressive growth at ~4.7% CAGR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Rentokil Initial operates with a predominantly finite game mindset. The $6.7B Terminix acquisition was driven by scale economics and market share dominance rather than by a Just Cause. The troubled North America integration, leadership turnover with a CEO change in March 2026, and poor employee sentiment in its largest market reveal an organization prioritizing financial consolidation over building an enduring culture. Strategic decisions are driven by cost synergies and margin optimization rather than a purpose that inspires sacrifice.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'Protecting People, Enhancing Lives' is a serviceable purpose statement but reads as marketing rather than a Just Cause that shapes strategic decisions. The Terminix acquisition was justified on financial grounds — cost synergies, route density, market share — not as advancing a cause. Leadership does not reference the purpose when explaining strategic decisions. The company exists to be the biggest pest control firm, which is a finite goal, not an infinite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Rentokil North America's Glassdoor rating of 2.7/5 based on 530 reviews is a clear red flag for organizational trust [5]. Employee reviews cite integration chaos, cultural friction between legacy Rentokil and Terminix employees, management instability, and loss of experienced technicians. The CEO transition in March 2026 adds leadership uncertainty. While the overall global rating is 3.6/5, the North American business representing ~60% of revenue shows evidence of a low-trust environment where integration disruption has eroded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Rentokil's competitive language centers on being the world's largest pest control company and achieving dominant market share — classic finite-game framing. The company positions its scale advantage over Rollins and other competitors as a moat rather than acknowledging rivals' strengths as motivation for improvement. No evidence of management commentary that references learning from competitors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Terminix acquisition fundamentally transformed Rentokil from a UK-centric diversified services company into a North America-focused pest control giant, shifting the center of gravity of the entire organization. The FY2025 IT strategy pivot from centralized integration to decentralized AI-driven operations shows willingness to adapt. However, these were incremental evolutions rather than the kind of transformative, cause-driven reinvention that scores maximum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abandon the monolithic Terminix IT integration in FY2025 in favor of a decentralized AI-driven model showed willingness to admit a costly mistake and change course [2]. Replacing former CEO Andy Ransom with outsider Mike Duffy — who brings US transformation experience — demonstrates willingness to make uncomfortable leadership changes. However, these decisions were forced by underperformance rather than proactive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Rentokil Initial is the world's largest pest control company with $6.9B in annual revenue, a position cemented by the transformative $6.7B Terminix acquisition in 2022 [1]. Q1 2026 revenue of $1.68B grew 4.3% at constant currency with North America organic growth of 3.9%, and Goldman Sachs upgraded the stock on recovery trajectory [7]. The business benefits from structural tailwinds — urbanization, climate change expanding pest habitats, and rising food safety regulation — while AI-driven route optimization and PestConnect remote monitoring create operational efficiency gains [2][3]. The ADR trades at 21.4x forward earnings with a 2.07% dividend yield, and the pest control market offers recession-resistant, recurring revenue characteristics.</w:t>
      </w:r>
    </w:p>
    <w:p>
      <w:pPr>
        <w:spacing w:after="120"/>
      </w:pPr>
      <w:r>
        <w:rPr>
          <w:rFonts w:ascii="Calibri" w:hAnsi="Calibri"/>
          <w:b w:val="0"/>
          <w:color w:val="3A4A28"/>
          <w:sz w:val="20"/>
        </w:rPr>
        <w:t>The bear case centers on execution risk in North America, where the Terminix integration remains troubled — Glassdoor ratings of 2.7/5, technician turnover, and the costly pivot away from centralized IT integration signal ongoing operational challenges [5]. GAAP net income fell 25% in 2025 to $290M despite revenue growth, producing a thin 4.2% net margin and weak 5.13% ROE that reflect acquisition-related amortization and integration costs [1]. Incoming CEO Mike Duffy faces a mandate to fix North America, but leadership transitions introduce uncertainty [4]. Organic growth of only 2.6% suggests the underlying business is growing slowly once acquisition effects are stripped out, and the elevated D/E of 116% limits financial flexibility. The 75% dividend payout ratio leaves minimal buffer for reinvestment or debt reduction.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 organic pest control growth accelerating beyond 3.9% as Terminix integration stabilizes under new CEO Mike Duffy and AI-driven route density improvements reduce technician churn</w:t>
      </w:r>
    </w:p>
    <w:p>
      <w:pPr>
        <w:spacing w:before="40" w:after="40"/>
        <w:ind w:left="283"/>
      </w:pPr>
      <w:r>
        <w:rPr>
          <w:rFonts w:ascii="Calibri" w:hAnsi="Calibri"/>
          <w:b/>
          <w:color w:val="4A6B25"/>
          <w:sz w:val="20"/>
        </w:rPr>
        <w:t xml:space="preserve">2. </w:t>
      </w:r>
      <w:r>
        <w:rPr>
          <w:rFonts w:ascii="Calibri" w:hAnsi="Calibri"/>
          <w:b w:val="0"/>
          <w:color w:val="3A4A28"/>
          <w:sz w:val="20"/>
        </w:rPr>
        <w:t>Goldman Sachs upgrade and consensus analyst Buy rating supporting re-rating from current 21.4x forward PE toward sector premium as organic growth trajectory improves</w:t>
      </w:r>
    </w:p>
    <w:p>
      <w:pPr>
        <w:spacing w:before="40" w:after="40"/>
        <w:ind w:left="283"/>
      </w:pPr>
      <w:r>
        <w:rPr>
          <w:rFonts w:ascii="Calibri" w:hAnsi="Calibri"/>
          <w:b/>
          <w:color w:val="4A6B25"/>
          <w:sz w:val="20"/>
        </w:rPr>
        <w:t xml:space="preserve">3. </w:t>
      </w:r>
      <w:r>
        <w:rPr>
          <w:rFonts w:ascii="Calibri" w:hAnsi="Calibri"/>
          <w:b w:val="0"/>
          <w:color w:val="3A4A28"/>
          <w:sz w:val="20"/>
        </w:rPr>
        <w:t>PestConnect Optix AI monitoring platform driving premium pricing and customer retention as commercial pest control shifts toward technology-enabled data-driven service delivery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 integration continues to underperform with Glassdoor 2.7/5 and technician turnover sustaining customer churn and preventing organic growth from reaching 5%+ targets needed to justify the valuation</w:t>
      </w:r>
    </w:p>
    <w:p>
      <w:pPr>
        <w:spacing w:before="40" w:after="40"/>
        <w:ind w:left="283"/>
      </w:pPr>
      <w:r>
        <w:rPr>
          <w:rFonts w:ascii="Calibri" w:hAnsi="Calibri"/>
          <w:b/>
          <w:color w:val="4A6B25"/>
          <w:sz w:val="20"/>
        </w:rPr>
        <w:t xml:space="preserve">2. </w:t>
      </w:r>
      <w:r>
        <w:rPr>
          <w:rFonts w:ascii="Calibri" w:hAnsi="Calibri"/>
          <w:b w:val="0"/>
          <w:color w:val="3A4A28"/>
          <w:sz w:val="20"/>
        </w:rPr>
        <w:t>GAAP net margin of 4.2% and ROE of 5.13% may not improve quickly enough to demonstrate acquisition value creation especially with D/E at 116% and 75% payout ratio limiting deleveraging capacity</w:t>
      </w:r>
    </w:p>
    <w:p>
      <w:pPr>
        <w:spacing w:before="40" w:after="40"/>
        <w:ind w:left="283"/>
      </w:pPr>
      <w:r>
        <w:rPr>
          <w:rFonts w:ascii="Calibri" w:hAnsi="Calibri"/>
          <w:b/>
          <w:color w:val="4A6B25"/>
          <w:sz w:val="20"/>
        </w:rPr>
        <w:t xml:space="preserve">3. </w:t>
      </w:r>
      <w:r>
        <w:rPr>
          <w:rFonts w:ascii="Calibri" w:hAnsi="Calibri"/>
          <w:b w:val="0"/>
          <w:color w:val="3A4A28"/>
          <w:sz w:val="20"/>
        </w:rPr>
        <w:t>New CEO Mike Duffy's transformation mandate creates execution risk — if the decentralized AI-driven operating model fails to deliver measurable efficiency gains within 12-18 months investor patience may erode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Pest control is fundamentally a physical-world service — technicians must physically inspect properties, identify pest species, apply treatments, and set monitoring devices. AI cannot replace the labor-intensive, on-site delivery model that generates the vast majority of Rentokil's revenue [2]. Regulatory requirements for pesticide application, local licensing, and health and safety compliance create additional structural barriers to AI substitution. Customer relationships in commercial pest control require trust and regulatory documentation that AI cannot replicate. Analysts have not flagged AI as a substitution risk; if anything, AI increases demand for Rentokil's services by enabling more sophisticated monitoring and faster response through PestConnect [3]. AI Opportunity (1/1): PestConnect Optix generates measurable commercial revenue through premium AI-powered remote monitoring subscriptions, and AI-driven route optimization is being deployed across North American operations to improve technician productivity and service density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Rentokil Initial Q1 2026 Trading Update — Revenue $1.68B, 4.3% Growth at Constant Currency, April 2026</w:t>
      </w:r>
    </w:p>
    <w:p>
      <w:pPr>
        <w:spacing w:before="20" w:after="20"/>
        <w:ind w:left="170"/>
      </w:pPr>
      <w:r>
        <w:rPr>
          <w:rFonts w:ascii="Calibri" w:hAnsi="Calibri"/>
          <w:b/>
          <w:color w:val="4A6B25"/>
          <w:sz w:val="15"/>
        </w:rPr>
        <w:t xml:space="preserve">2. </w:t>
      </w:r>
      <w:r>
        <w:rPr>
          <w:rFonts w:ascii="Calibri" w:hAnsi="Calibri"/>
          <w:b w:val="0"/>
          <w:color w:val="3A4A28"/>
          <w:sz w:val="17"/>
        </w:rPr>
        <w:t>Rentokil Initial FY2025 Preliminary Results — Revenue $6.91B, Adjusted Operating Profit +5.4%, AI-Driven Route Density Pivot, January 2026</w:t>
      </w:r>
    </w:p>
    <w:p>
      <w:pPr>
        <w:spacing w:before="20" w:after="20"/>
        <w:ind w:left="170"/>
      </w:pPr>
      <w:r>
        <w:rPr>
          <w:rFonts w:ascii="Calibri" w:hAnsi="Calibri"/>
          <w:b/>
          <w:color w:val="4A6B25"/>
          <w:sz w:val="15"/>
        </w:rPr>
        <w:t xml:space="preserve">3. </w:t>
      </w:r>
      <w:r>
        <w:rPr>
          <w:rFonts w:ascii="Calibri" w:hAnsi="Calibri"/>
          <w:b w:val="0"/>
          <w:color w:val="3A4A28"/>
          <w:sz w:val="17"/>
        </w:rPr>
        <w:t>Rentokil PestConnect Optix AI-Driven Remote Pest Monitoring Platform — rentokil.com, 2025-2026</w:t>
      </w:r>
    </w:p>
    <w:p>
      <w:pPr>
        <w:spacing w:before="20" w:after="20"/>
        <w:ind w:left="170"/>
      </w:pPr>
      <w:r>
        <w:rPr>
          <w:rFonts w:ascii="Calibri" w:hAnsi="Calibri"/>
          <w:b/>
          <w:color w:val="4A6B25"/>
          <w:sz w:val="15"/>
        </w:rPr>
        <w:t xml:space="preserve">4. </w:t>
      </w:r>
      <w:r>
        <w:rPr>
          <w:rFonts w:ascii="Calibri" w:hAnsi="Calibri"/>
          <w:b w:val="0"/>
          <w:color w:val="3A4A28"/>
          <w:sz w:val="17"/>
        </w:rPr>
        <w:t>Rentokil Initial Leadership Change — Mike Duffy Appointed CEO effective March 16, 2026</w:t>
      </w:r>
    </w:p>
    <w:p>
      <w:pPr>
        <w:spacing w:before="20" w:after="20"/>
        <w:ind w:left="170"/>
      </w:pPr>
      <w:r>
        <w:rPr>
          <w:rFonts w:ascii="Calibri" w:hAnsi="Calibri"/>
          <w:b/>
          <w:color w:val="4A6B25"/>
          <w:sz w:val="15"/>
        </w:rPr>
        <w:t xml:space="preserve">5. </w:t>
      </w:r>
      <w:r>
        <w:rPr>
          <w:rFonts w:ascii="Calibri" w:hAnsi="Calibri"/>
          <w:b w:val="0"/>
          <w:color w:val="3A4A28"/>
          <w:sz w:val="17"/>
        </w:rPr>
        <w:t>Glassdoor Employee Reviews — Rentokil Initial 3.6/5 (1,706 reviews), Rentokil North America 2.7/5 (530 reviews),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Rentokil Initial Dividend History — Progressive Dividend Policy, 9.09p FY2024 (+4.7% YoY), NYSE ADR yield 2.07%</w:t>
      </w:r>
    </w:p>
    <w:p>
      <w:pPr>
        <w:spacing w:before="20" w:after="20"/>
        <w:ind w:left="170"/>
      </w:pPr>
      <w:r>
        <w:rPr>
          <w:rFonts w:ascii="Calibri" w:hAnsi="Calibri"/>
          <w:b/>
          <w:color w:val="4A6B25"/>
          <w:sz w:val="15"/>
        </w:rPr>
        <w:t xml:space="preserve">7. </w:t>
      </w:r>
      <w:r>
        <w:rPr>
          <w:rFonts w:ascii="Calibri" w:hAnsi="Calibri"/>
          <w:b w:val="0"/>
          <w:color w:val="3A4A28"/>
          <w:sz w:val="17"/>
        </w:rPr>
        <w:t>Goldman Sachs Upgrades Rentokil Initial Stock Rating on Growth Recovery,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