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RTX</w:t>
      </w:r>
      <w:r>
        <w:rPr>
          <w:rFonts w:ascii="Calibri" w:hAnsi="Calibri"/>
          <w:b/>
          <w:color w:val="1A2010"/>
          <w:sz w:val="40"/>
        </w:rPr>
        <w:t xml:space="preserve">  RTX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2026-08-24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Aerospace &amp; Defense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RTX Corporation is a global aerospace and defense company formed from the 2020 merger of Raytheon Company and United Technologies Corporation, operating through three segments — Collins Aerospace, Pratt &amp; Whitney, and Raytheon. RTX designs, manufactures, and services advanced systems for commercial aerospace and defense customers worldwide. Q2 2026 revenue reached $24.7B (+14.5% YoY, 16% organic), and the company raised full-year 2026 sales guidance to $95-96B on a record $289B backlog. Market cap of approximately $283B.</w:t>
      </w:r>
    </w:p>
    <w:p>
      <w:r>
        <w:rPr>
          <w:rFonts w:ascii="Calibri" w:hAnsi="Calibri"/>
          <w:b/>
          <w:color w:val="6E8450"/>
          <w:sz w:val="18"/>
        </w:rPr>
        <w:t>180,000 Employees · https://www.rtx.com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RTX's segment realignment from four to three units (Collins Aerospace, Pratt &amp; Whitney, Raytheon) and its response to the Pratt &amp; Whitney powder-metal manufacturing defect — absorbing billions in remediation charges rather than deferring the fix — represent meaningful operational transformation, though the company has not launched a fundamentally new product category [1]. Q2 2026 delivered 16% organic sales growth with 40bps of segment margin expansion. AI Deployment (1/2): AI is deployed across missile guidance, sensor fusion, autonomous systems, and Pratt &amp; Whitney predictive-maintenance programs, with enhanced Board-level AI oversight since 2024, though AI-specific revenue is not separately quantified [2]. Market Share (2/2): RTX is the world's second-largest aerospace and defense company, sole-source on the F-35 engine (Pratt &amp; Whitney), and a leader in integrated air defense (Patriot, NASAMS) and avionics/cabin systems (Collins Aerospace) [1]. Product Pipeline (2/2): A record $289B backlog ($170B commercial, $119B defense) provides extraordinary multi-year visibility, backed by 7-year Pentagon missile production deals to quadruple output and next-generation air-defense (LTAMDS) and engine programs [3]. R&amp;D Intensity (1/1): R&amp;D spending of roughly $2.8B (~3.2% of revenue) is above the defense-industry average, supplemented by substantial customer-funded development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RTX's stated purpose — advancing aviation, building smarter defense systems, and creating efficiency innovations — is clear but standard defense-contractor language interchangeable with Lockheed Martin, Northrop Grumman, or Boeing [1]. Community Impact (1/2): RTX maintains nine global employee resource groups with roughly 16% workforce participation across 25 countries, STEM initiatives, and veteran hiring programs — meaningful but not distinctive at scale relative to peers [2]. Employee Retention (0/2): Reports describe micromanagement, limited empowerment, heavier post-merger workloads, and reduced work-life balance; the CEO transition to Chris Calio (2024) and prior integration friction across the 180,000-employee, dual-heritage (legacy Raytheon/UTC) workforce add continued instability [2]. Insider Buying (0/2): No evidence of meaningful net insider buying by executives in the last 12 months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D/E of 57% clears the 70% target (score 1.0). ROE of 12.27% scores 0.82 at 2x weight — solid but below the 15% target for a capital-intensive defense manufacturer. Revenue growth (TTM 11.84%) clears the 10% target (1.0), while 5-year revenue CAGR of ~7.8% scores 0.85 at 2x weight. Forward P/E of 28.46 scores 0.79. Profit margin of 8.28% is the primary weakness at 0.41 — typical for defense manufacturing but well below the 20% target. Forward PEG of 2.62 scores 0.19 at 2x weight, reflecting a premium valuation relative to growth. Liquidity clears easily: 4.80M avg daily volume × $209.91 = $1.01B.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RTX plays a predominantly finite game despite genuine engineering strength and a century of heritage through its legacy companies. Its stated purpose is functional rather than a true Just Cause, competitive language centers on winning contracts rather than mutual improvement, and post-merger cultural integration remains a persistent source of friction six years after the 2020 combination. The clearest infinite-game evidence is existential flexibility — the 2020 Raytheon/UTC merger and subsequent divestiture of Otis and Carrier was a genuine strategic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RTX's stated purpose of 'advancing aviation, building smarter defense systems, and creating innovations' describes what the company does rather than articulating a cause that inspires sacrifice independent of financial results [1]. The 2020 merger was a financial and strategic restructuring rather than a purpose-driven reinvention, and no evidence suggests the cause has been tested through a genuine crisis with the current leadership team.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RTX is a large, stable employer with leadership continuity at senior levels and structured succession planning (Calio groomed internally since 2005), but reports of micromanagement, heavier post-merger workloads, and inconsistent communication point to ongoing integration friction across the combined Raytheon/UTC workforce [2]. This supports an adequate rather than high-trust score — no evidence of mass layoffs, but no standout evidence of psychological safety either.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RTX's competitive language centers on winning defense contracts and capturing share in a winner-take-all procurement model (F-35 engine, LTAMDS, next-gen munitions). No evidence was found of management framing competitors' strengths as motivation for self-improvement.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2020 merger of Raytheon (defense) and United Technologies (commercial aerospace), paired with the subsequent divestiture of Otis and Carrier, was a genuine strategic reinvention that created a pure-play aerospace-defense company [1]. The 7-year Pentagon missile deals to quadruple production represent a further evolution from technology developer toward high-volume manufacturer, though this is an extension of existing capability rather than a wholly new business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RTX addressed the Pratt &amp; Whitney powder-metal manufacturing defect by absorbing billions in remediation charges and engine-inspection costs rather than minimizing the issue, accepting real short-term earnings pain [1]. Committing capital ahead of revenue to quadruple missile output via 7-year Pentagon deals shows willingness to invest for future capability, though this investment was substantially de-risked by guaranteed government contracts.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RTX delivered a strong Q2 2026 with $24.7B revenue (+14.5% YoY, 16% organic growth) and adjusted EPS of $1.89, beating consensus by a wide margin, and raised full-year 2026 guidance to $95-96B in sales (8-9% organic growth) with adjusted EPS of $7.10-7.25 [1]. The investment case is anchored by a record $289B backlog — up 22% YoY and split between $170B commercial and $119B defense orders — with the Raytheon defense segment posting a 2.4x book-to-bill in Q2 2026 [2]. Global defense spending tailwinds (NATO budget increases, Indo-Pacific and Middle East air-defense demand) and Pratt &amp; Whitney's sole-source F-35 engine position plus a growing commercial aftermarket provide counter-cyclical ballast. AI Resilience is a genuine strength: RTX's physical, classified, multi-decade-qualification manufacturing base is structurally immune to AI substitution.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valuation, thin margins, and organizational friction. Forward P/E of 28.46x and a PEG of 2.62 price in sustained double-digit growth that requires flawless backlog conversion. Profit margin of 8.28% remains structurally low for the defense sector and far below the 20% IOWN infrastructure target. The Pratt &amp; Whitney powder-metal remediation continues to create earnings drag years after disclosure. Culturally, RTX scores weakly on Inspiration and Infinite Game — reports of micromanagement and inconsistent communication persist six years post-merger across the combined 180,000-employee Raytheon/UTC workforce, and the company's stated purpose reads as functional rather than a genuine Just Cause. The Inspire MISALIGNED score (-49, driven by LGBT Activism) may also limit the addressable investor base for faith-aligned mandates.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Record $289B backlog (+22% YoY) with a 2.4x Q2 2026 Raytheon book-to-bill and 7-year Pentagon missile production deals to quadruple output, providing extraordinary multi-year revenue visibility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Raised FY2026 guidance to $95-96B revenue (8-9% organic growth) and $7.10-7.25 adjusted EPS following a Q2 2026 beat, with segment margins expanding 40bps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Global defense spending surge — NATO members moving toward 2%+ GDP targets, plus Indo-Pacific and Middle East air-defense demand — creating a secular tailwind for RTX's Patriot, NASAMS, and Tomahawk portfolio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Forward P/E of 28.46x and PEG of 2.62 price in flawless execution; any backlog-conversion slippage or defense-budget disruption would pressure the premium multiple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Pratt &amp; Whitney powder-metal remediation continues to generate engine-inspection costs and customer compensation obligations that could extend beyond current estimates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Persistent post-merger cultural integration friction — micromanagement, inconsistent communication, and turnover reported across the 180,000-employee organization — weighs on Inspiration and Infinite Game scores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RTX's core business is structurally immune to AI disruption across all three segments — Patriot/NASAMS/Tomahawk defense systems, Pratt &amp; Whitney jet engine metallurgy and thermodynamics, and FAA/DoD-certified Collins Aerospace avionics all require physical manufacturing, classified facilities, and multi-decade qualification cycles that AI cannot substitute for [1]. Sole-source positions (F-35 engine) and 30+ year procurement cycles create structural moats; AI-guided munitions and sensor fusion arguably increase demand for RTX hardware rather than displacing it. AI Opportunity (0/1): AI is actively deployed in missile guidance, sensor fusion, and predictive maintenance, but no specific AI-attributable revenue or percentage figures were disclosed, so the tiebreaker point is not awarded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RTX Reports Q2 2026 Results — RTX Corporation press release, July 23,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RTX Corporation Leadership, Culture, and Board AI Oversight — rtx.com, Built In, Wikipedia,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RTX (RTX) Posts Record $289 Billion Backlog As Q2 Earnings Beat Expectations — congress.net,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 Analysis — RTX Financial Ratios, D/E, ROE, PEG, Payout Ratio,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RTX Corporation ESG Ratings — Sustainalytics, KnowESG, S&amp;P Global,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