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RUM</w:t>
      </w:r>
      <w:r>
        <w:rPr>
          <w:rFonts w:ascii="Calibri" w:hAnsi="Calibri"/>
          <w:b/>
          <w:color w:val="1A2010"/>
          <w:sz w:val="40"/>
        </w:rPr>
        <w:t xml:space="preserve">  Rumble Inc.</w:t>
      </w:r>
    </w:p>
    <w:p>
      <w:pPr>
        <w:spacing w:after="120"/>
      </w:pPr>
      <w:r>
        <w:rPr>
          <w:rFonts w:ascii="Calibri" w:hAnsi="Calibri"/>
          <w:b/>
          <w:color w:val="6E8450"/>
          <w:sz w:val="18"/>
        </w:rPr>
        <w:t>GROWTH SLEEVE · 2026-07-18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AI Infrastructure · NASDAQ · United States</w:t>
      </w:r>
    </w:p>
    <w:p>
      <w:pPr>
        <w:spacing w:after="80"/>
      </w:pPr>
      <w:r>
        <w:rPr>
          <w:rFonts w:ascii="Calibri" w:hAnsi="Calibri"/>
          <w:b w:val="0"/>
          <w:color w:val="3A4A28"/>
          <w:sz w:val="20"/>
        </w:rPr>
        <w:t>Rumble Inc. operates a video-sharing and livestreaming platform positioned as a free-speech alternative to mainstream Big Tech video platforms, serving 56 million monthly active users [1]. In June 2026 the company closed a $970M acquisition of Northern Data AG, adding roughly 200MW of unmonetized energy capacity, 22,000 high-end NVIDIA GPUs, and a European data center network, and restructured into two divisions — Rumble (creator/video platform) and Quake AI (AI compute/cloud infrastructure) [2]. Founded 2013 by Chris Pavlovski, headquartered in Longboat Key, Florida.</w:t>
      </w:r>
    </w:p>
    <w:p>
      <w:r>
        <w:rPr>
          <w:rFonts w:ascii="Calibri" w:hAnsi="Calibri"/>
          <w:b/>
          <w:color w:val="6E8450"/>
          <w:sz w:val="18"/>
        </w:rPr>
        <w:t>277 Employees · https://rumble.com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$970M Northern Data acquisition closed June 17, 2026, opening an entirely new AI compute-as-a-service revenue stream on top of the core video platform, but the pivot is too recent to be validated by results [2]. AI Deployment (2/2): Quake AI is monetizing GPU capacity through a $270M multiyear agreement with Together AI for dedicated NVIDIA Blackwell B300 cloud capacity — a specific, quantified AI revenue commitment [2][3]. Market Share (1/2): 56 million MAUs represent meaningful but not category-leading scale versus incumbent video platforms, and the AI compute business is too new to claim share leadership [1]. Product Pipeline (2/2): Rumble Shorts monetization targeted for H2 2026 and the Together AI contract both carry specific dollar figures and timelines [1][2]. R&amp;D Intensity (0/1): No R&amp;D-as-percent-of-revenue disclosure was found despite a 134% increase in sales and marketing spend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Rumble's mission to 'restore the internet to its roots' as free and open is specific and consistently referenced in strategic decisions — congressional testimony, refusal to moderate content under advertiser pressure, and a 2023 ESG statement explicitly rejecting standard ESG frameworks in favor of the free-speech mission [4]. It has not yet been tested across multiple decades. Community Impact (0/2): No charitable or community investment programs were found in research. Employee Retention (0/2): No tenure or turnover data is publicly available for the 277-person team. Insider Buying (1/2): Founder/CEO Chris Pavlovski holds 44.6% beneficial ownership and publicly committed not to sell shares at lock-up expiration, signaling strong conviction, though this is not a documented net-purchase transaction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PEG and 5yr revenue CAGR unavailable and excluded). Q1 2026 revenue grew 7% YoY to $25.5M, a miss versus the $26.24M consensus, with net loss widening to $30.3M and adjusted EBITDA loss of $21M as sales and marketing spend rose 134% [1]. Debt-to-equity of roughly 1% (net cash position of $217M) is excellent, and forward P/E of 24.2 scores reasonably, but ROE of -37.1% and profit margin of -106.9% both hit the zero floor given continued heavy losses [1]. The Northern Data consolidation (revenue guidance raised to €170-190M) should improve the growth and margin profile going forward but is not yet reflected in trailing figures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Rumble under Chris Pavlovski shows genuine infinite-game instincts on cause and courage — a consistently articulated free-speech mission tested through congressional scrutiny and advertiser pressure, and a founder willing to bet the company's future on a transformative AI infrastructure pivot. It falls short on the 'worthy rivals' dimension, where the company's rhetoric frames Big Tech platforms as adversaries to be defeated rather than rivals to learn from.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'restore a free and open internet' is resilient, service-oriented, and idealistic, and has shaped concrete decisions — resisting content-moderation pressure, Pavlovski's congressional testimony, and the 2023 ESG statement explicitly subordinating standard ESG metrics to the mission [4]. It has been tested through real adversity (advertiser boycotts, political scrutiny) but not yet across multiple decades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 or turnover controversy was found for the 277-person team, and founder-led continuity since 2013 suggests organizational stability, but there is no positive tenure or psychological-safety evidence to point to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Rumble's public language frames Big Tech platforms as censorship adversaries to be defeated ('restoring the internet') rather than worthy competitors whose strengths sharpen Rumble's own offering — a finite competitive framing [4].</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Acquiring a European AI/HPC infrastructure company and restructuring into a video-platform-plus-AI-cloud business is a genuinely transformative pivot — 200MW of power capacity and 22,000 GPUs represent a fundamentally new business line layered onto the original creator platform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Pavlovski's public refusal to sell shares at lock-up expiration, willingness to absorb advertiser boycotts and congressional scrutiny in defense of the platform's mission, and the $970M bet on an unproven AI infrastructure pivot all reflect leadership prioritizing long-term conviction over short-term optics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Rumble is transforming from a pure video platform into a hybrid media-and-AI-infrastructure company. The closed $970M Northern Data acquisition delivers 200MW of power capacity and 22,000 NVIDIA GPUs, and the $270M multiyear Together AI GPU cloud agreement provides a quantified near-term revenue bridge into the AI compute-as-a-service market, with Northern Data's own FY2026 revenue outlook raised to €170-190M [2][3]. The core video platform continues to grow its user base (56M MAUs) with a net-cash balance sheet (D/E near 1%) giving management flexibility to fund the pivot without dilution or leverage risk [1].</w:t>
      </w:r>
    </w:p>
    <w:p>
      <w:pPr>
        <w:spacing w:after="120"/>
      </w:pPr>
      <w:r>
        <w:rPr>
          <w:rFonts w:ascii="Calibri" w:hAnsi="Calibri"/>
          <w:b w:val="0"/>
          <w:color w:val="3A4A28"/>
          <w:sz w:val="20"/>
        </w:rPr>
        <w:t>The bear case centers on execution risk and profitability. Q1 2026 revenue growth of just 7% missed consensus, the net loss widened to $30.3M, and sales and marketing spend jumped 134% with no clear timeline to profitability on the legacy video business, which posted a -106.9% profit margin and -37.1% ROE [1]. The AI infrastructure pivot is capital-intensive and unproven at scale, introducing new execution, energy-cost, and GPU-depreciation risks that are foreign to Rumble's original media business, and meaningful advertising monetization on the core platform is not expected until late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Quake AI/Northern Data ramping toward the raised €170-190M FY2026 revenue outlook as GPU capacity is monetized under the $270M Together AI agreement</w:t>
      </w:r>
    </w:p>
    <w:p>
      <w:pPr>
        <w:spacing w:before="40" w:after="40"/>
        <w:ind w:left="283"/>
      </w:pPr>
      <w:r>
        <w:rPr>
          <w:rFonts w:ascii="Calibri" w:hAnsi="Calibri"/>
          <w:b/>
          <w:color w:val="4A6B25"/>
          <w:sz w:val="20"/>
        </w:rPr>
        <w:t xml:space="preserve">2. </w:t>
      </w:r>
      <w:r>
        <w:rPr>
          <w:rFonts w:ascii="Calibri" w:hAnsi="Calibri"/>
          <w:b w:val="0"/>
          <w:color w:val="3A4A28"/>
          <w:sz w:val="20"/>
        </w:rPr>
        <w:t>Rumble Shorts advertising monetization launching in H2 2026 across the 56M MAU base</w:t>
      </w:r>
    </w:p>
    <w:p>
      <w:pPr>
        <w:spacing w:before="40" w:after="40"/>
        <w:ind w:left="283"/>
      </w:pPr>
      <w:r>
        <w:rPr>
          <w:rFonts w:ascii="Calibri" w:hAnsi="Calibri"/>
          <w:b/>
          <w:color w:val="4A6B25"/>
          <w:sz w:val="20"/>
        </w:rPr>
        <w:t xml:space="preserve">3. </w:t>
      </w:r>
      <w:r>
        <w:rPr>
          <w:rFonts w:ascii="Calibri" w:hAnsi="Calibri"/>
          <w:b w:val="0"/>
          <w:color w:val="3A4A28"/>
          <w:sz w:val="20"/>
        </w:rPr>
        <w:t>Continued data center buildout across the ~250MW of energized and planned power capacity, expanding AI compute-as-a-service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is capital-intensive and unproven for Rumble; GPU depreciation, energy costs, and data center execution risk are new to the company's cost structure</w:t>
      </w:r>
    </w:p>
    <w:p>
      <w:pPr>
        <w:spacing w:before="40" w:after="40"/>
        <w:ind w:left="283"/>
      </w:pPr>
      <w:r>
        <w:rPr>
          <w:rFonts w:ascii="Calibri" w:hAnsi="Calibri"/>
          <w:b/>
          <w:color w:val="4A6B25"/>
          <w:sz w:val="20"/>
        </w:rPr>
        <w:t xml:space="preserve">2. </w:t>
      </w:r>
      <w:r>
        <w:rPr>
          <w:rFonts w:ascii="Calibri" w:hAnsi="Calibri"/>
          <w:b w:val="0"/>
          <w:color w:val="3A4A28"/>
          <w:sz w:val="20"/>
        </w:rPr>
        <w:t>Core video platform remains deeply unprofitable (-106.9% profit margin, -37.1% ROE) with Q1 2026 revenue missing consensus and losses widening to $30.3M</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the Northern Data acquisition, a large cross-border deal (85.2% ownership stake) that could strain management bandwidth during a critical monetization window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Rumble's video platform carries modest AI exposure (AI-generated content, deepfakes), but the company has repositioned itself as an AI infrastructure provider through Quake AI, giving it direct exposure to AI compute demand rather than substitution risk — analogous to a company that cannot be disrupted by the technology it now supplies [2][3]. Analysts are not flagging AI displacement risk to the core video business. AI Opportunity (1/1): Quake AI/Northern Data generates quantified AI revenue — a raised €170-190M FY2026 outlook plus the $270M multiyear Together AI GPU cloud agreement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Rumble Inc. Q1 2026 Earnings Report and Investor Call — investors.rumble.com, GuruFocus, ChartMill, May 2026</w:t>
      </w:r>
    </w:p>
    <w:p>
      <w:pPr>
        <w:spacing w:before="20" w:after="20"/>
        <w:ind w:left="170"/>
      </w:pPr>
      <w:r>
        <w:rPr>
          <w:rFonts w:ascii="Calibri" w:hAnsi="Calibri"/>
          <w:b/>
          <w:color w:val="4A6B25"/>
          <w:sz w:val="15"/>
        </w:rPr>
        <w:t xml:space="preserve">2. </w:t>
      </w:r>
      <w:r>
        <w:rPr>
          <w:rFonts w:ascii="Calibri" w:hAnsi="Calibri"/>
          <w:b w:val="0"/>
          <w:color w:val="3A4A28"/>
          <w:sz w:val="17"/>
        </w:rPr>
        <w:t>Rumble Completes Acquisition of Northern Data AG — corp.rumble.com, Quiver Quantitative, citybiz, June 2026</w:t>
      </w:r>
    </w:p>
    <w:p>
      <w:pPr>
        <w:spacing w:before="20" w:after="20"/>
        <w:ind w:left="170"/>
      </w:pPr>
      <w:r>
        <w:rPr>
          <w:rFonts w:ascii="Calibri" w:hAnsi="Calibri"/>
          <w:b/>
          <w:color w:val="4A6B25"/>
          <w:sz w:val="15"/>
        </w:rPr>
        <w:t xml:space="preserve">3. </w:t>
      </w:r>
      <w:r>
        <w:rPr>
          <w:rFonts w:ascii="Calibri" w:hAnsi="Calibri"/>
          <w:b w:val="0"/>
          <w:color w:val="3A4A28"/>
          <w:sz w:val="17"/>
        </w:rPr>
        <w:t>Rumble-Together AI $270 Million GPU Cloud Agreement — Rumble Investor Relations, 2026</w:t>
      </w:r>
    </w:p>
    <w:p>
      <w:pPr>
        <w:spacing w:before="20" w:after="20"/>
        <w:ind w:left="170"/>
      </w:pPr>
      <w:r>
        <w:rPr>
          <w:rFonts w:ascii="Calibri" w:hAnsi="Calibri"/>
          <w:b/>
          <w:color w:val="4A6B25"/>
          <w:sz w:val="15"/>
        </w:rPr>
        <w:t xml:space="preserve">4. </w:t>
      </w:r>
      <w:r>
        <w:rPr>
          <w:rFonts w:ascii="Calibri" w:hAnsi="Calibri"/>
          <w:b w:val="0"/>
          <w:color w:val="3A4A28"/>
          <w:sz w:val="17"/>
        </w:rPr>
        <w:t>Chris Pavlovski Leadership and Rumble ESG Statement — corp.rumble.com, Rumble IR, MarketScreener</w:t>
      </w:r>
    </w:p>
    <w:p>
      <w:pPr>
        <w:spacing w:before="20" w:after="20"/>
        <w:ind w:left="170"/>
      </w:pPr>
      <w:r>
        <w:rPr>
          <w:rFonts w:ascii="Calibri" w:hAnsi="Calibri"/>
          <w:b/>
          <w:color w:val="4A6B25"/>
          <w:sz w:val="15"/>
        </w:rPr>
        <w:t xml:space="preserve">5. </w:t>
      </w:r>
      <w:r>
        <w:rPr>
          <w:rFonts w:ascii="Calibri" w:hAnsi="Calibri"/>
          <w:b w:val="0"/>
          <w:color w:val="3A4A28"/>
          <w:sz w:val="17"/>
        </w:rPr>
        <w:t>Rumble Inc. (RUM) Stock Statistics and Market Cap — StockAnalysis.com, WallStreetZen,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