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RYAN</w:t>
      </w:r>
      <w:r>
        <w:rPr>
          <w:rFonts w:ascii="Calibri" w:hAnsi="Calibri"/>
          <w:b/>
          <w:color w:val="1A2010"/>
          <w:sz w:val="40"/>
        </w:rPr>
        <w:t xml:space="preserve">  Ryan Specialty Holdings, Inc.</w:t>
      </w:r>
    </w:p>
    <w:p>
      <w:pPr>
        <w:spacing w:after="120"/>
      </w:pPr>
      <w:r>
        <w:rPr>
          <w:rFonts w:ascii="Calibri" w:hAnsi="Calibri"/>
          <w:b/>
          <w:color w:val="6E8450"/>
          <w:sz w:val="18"/>
        </w:rPr>
        <w:t>GROWTH SLEEVE · 2026-07-18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NYSE · United States</w:t>
      </w:r>
    </w:p>
    <w:p>
      <w:pPr>
        <w:spacing w:after="80"/>
      </w:pPr>
      <w:r>
        <w:rPr>
          <w:rFonts w:ascii="Calibri" w:hAnsi="Calibri"/>
          <w:b w:val="0"/>
          <w:color w:val="3A4A28"/>
          <w:sz w:val="20"/>
        </w:rPr>
        <w:t>Ryan Specialty Holdings provides specialty insurance distribution, underwriting, product development, administration, and risk management services to insurance brokers, agents, and carriers, operating as a wholesale broker and managing underwriter with delegated carrier authority [1]. Founded in 2010 by Patrick G. Ryan (founder of Aon) and headquartered in Chicago, Illinois; IPO'd on NYSE in July 2021.</w:t>
      </w:r>
    </w:p>
    <w:p>
      <w:r>
        <w:rPr>
          <w:rFonts w:ascii="Calibri" w:hAnsi="Calibri"/>
          <w:b/>
          <w:color w:val="6E8450"/>
          <w:sz w:val="18"/>
        </w:rPr>
        <w:t>6,144 Employees · https://www.ryanspecialty.com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Revenue nearly doubled from $1.43B in 2021 to $3.05B in 2025 (21%+ growth in both 2024 and 2025) through a combination of double-digit organic growth and a steady bolt-on acquisition strategy within the wholesale/specialty broker roll-up model — meaningful scaling but not a business-model transformation [2]. AI Deployment (1/2): Industry-wide adoption of AI submission and underwriting-workflow tools (e.g., Magic Submission, Risk Analyst) is compressing quote times across the E&amp;S market, and RYAN participates in this trend, but no RYAN-specific quantified AI savings or shipped AI product was found in research [3]. Market Share (2/2): RYAN is repeatedly ranked among the top specialist wholesale brokers in the US, and its 21%+ annual revenue growth in 2024-2025 significantly outpaced underlying P&amp;C market growth, evidencing real share gains [2]. Product Pipeline (0/2): No specific next-generation products with named launch dates were found; FY2026 guidance is limited to a mid-single-digit (4-6%) organic growth range, not a product roadmap [1]. R&amp;D Intensity (0/1): No R&amp;D spend is disclosed for this services business; no evidence of above-average technology investment relative to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RYAN's stated purpose — to provide 'industry-leading innovative specialty insurance solutions for insurance brokers, agents and carriers' — clearly identifies what the company does and for whom but reads as standard industry boilerplate rather than a distinctive, deeply considered purpose [1]. Community Impact (0/2): No specific foundation, charitable program, or community investment with dollar amounts was found in research. Employee Retention (0/2): Glassdoor shows 67% would recommend and 3.6-3.7/5 on culture and career opportunity, but reviews also cite 'HUGE LAYOFFS, no transparency' and allegations of discrimination and retaliation from local leadership that senior leadership 'disregards' — net negative signal [4]. Insider Buying (2/2): Founder and Executive Chairman Patrick G. Ryan personally purchased 120,000 Class A shares (~$3.9M at $32.50 weighted average) in a single transaction in early 2026 during a stock selloff, plus a director purchase of 25,865 shares in February 2026 — meaningful, specific, dollar-quantified insider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weighting (D/E 1x, ROE 2x, Rev YoY 1x, Rev 5yr CAGR 2x, Forward P/E 1x, Profit Margin 1x, Forward PEG 2x; total weight 10). D/E of 290% is near the 300% floor (score 0.04), reflecting the leveraged roll-up acquisition strategy, and trailing GAAP profit margin of 2.38% is thin (score 0.12), reflecting deal amortization [2]. However, ROE of 19.33% clears the 15% target (score 1.0, 2x weight), 5-year revenue CAGR of 21.3% (from $1.43B in 2021 to $3.05B in 2025) far exceeds the 10% target (score 1.0, 2x weight), Q1 2026 revenue growth of 15.2% YoY clears the 10% target (score 1.0), and forward P/E of 25.01 scores 0.875 [1][2]. Forward PEG is estimated near 2.3 given decelerating 2026 organic growth guidance of 4-6% against elevated margins pressure, scoring 0.35 (2x weight). Weighted sum 6.74/10 → Infrastructure 7. Liquidity floor easily cleared: 2.63M avg vol × $41.76 = $109.8M.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Ryan Specialty shows real courage in founder Patrick Ryan's decision to build a second insurance giant after already exiting Aon, and his recent insider buying during a stock selloff reflects genuine conviction. But the company's mission reads as standard industry boilerplate rather than a Sinek-style Just Cause, and Glassdoor reviews citing 'HUGE LAYOFFS,' lack of transparency, and unaddressed retaliation complaints point to a low-trust environment that undercuts the infinite-game case.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RYAN's purpose statement — providing 'industry-leading innovative specialty insurance solutions' — is functional and interchangeable with virtually any specialty insurance peer; it describes the business rather than articulating a service-oriented vision of a better future, and no evidence was found of it shaping strategic decisions beyond normal business operations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specifically describe 'HUGE LAYOFFS, no transparency,' allegations of discrimination and retaliation from local leadership, and claims that senior leadership 'disregards' these allegations — clear low-trust signals, even though the aggregate 67% recommend rate suggests experience varies widely by department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in research of RYAN explicitly framing competitors as sources of learning or improvement; the company's public narrative centers on market share leadership and consolidation rather than rival-driven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RYAN has evolved from a pure wholesale broker into a platform spanning underwriting management and delegated binding authority, a real but incremental adjacency rather than a transformative reinvention of the core specialty-brokerage business model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Patrick Ryan building a second major specialty insurance company after already growing and exiting Aon reflects a long-term conviction bet, reinforced by his personal $3.9M open-market share purchase during a 2026 stock selloff following weak Q4 2025 results and a securities-law investigation — a founder putting capital behind the business when sentiment was weakest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Ryan Specialty is one of the largest independent wholesale/specialty insurance distributors in the US, having grown revenue from $1.43B in 2021 to $3.05B in 2025 (21%+ annual growth in each of the last two years) through a mix of double-digit organic growth and disciplined bolt-on M&amp;A [2]. Q1 2026 total revenue grew 15.2% YoY to $795.2M with organic growth of 11.8%, adjusted EBITDAC up 15.7%, and adjusted EPS up 20.5% [1]. Founder and Executive Chairman Patrick Ryan's $3.9M open-market share purchase in early 2026 signals genuine conviction from the person who also built Aon into a global insurance giant [5].</w:t>
      </w:r>
    </w:p>
    <w:p>
      <w:pPr>
        <w:spacing w:after="120"/>
      </w:pPr>
      <w:r>
        <w:rPr>
          <w:rFonts w:ascii="Calibri" w:hAnsi="Calibri"/>
          <w:b w:val="0"/>
          <w:color w:val="3A4A28"/>
          <w:sz w:val="20"/>
        </w:rPr>
        <w:t>The bear case is building. Management specifically guided 2026 organic growth down to mid-single digits (4-6%), citing 'worsening property rate declines, heightened competition, and slower market conditions,' with adjusted EBITDAC margin guided down 100-150bps [1]. D/E of 290% is near the model's floor, reflecting heavy leverage from the acquisition-fueled growth strategy, and trailing GAAP profit margin of just 2.38% leaves little cushion [2]. Analysts have specifically flagged AI-driven underwriting automation as a sector risk for E&amp;S wholesale brokers, and the Schall Law Firm has opened an investigation into potential securities-law violations tied to disclosures around the weaker Q4 2025 results [3]. Glassdoor reviews citing large layoffs, lack of transparency, and unaddressed retaliation complaints raise organizational-trust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Stabilization or re-acceleration of organic growth back toward historical double-digit rates if E&amp;S property pricing and competitive intensity normalize</w:t>
      </w:r>
    </w:p>
    <w:p>
      <w:pPr>
        <w:spacing w:before="40" w:after="40"/>
        <w:ind w:left="283"/>
      </w:pPr>
      <w:r>
        <w:rPr>
          <w:rFonts w:ascii="Calibri" w:hAnsi="Calibri"/>
          <w:b/>
          <w:color w:val="4A6B25"/>
          <w:sz w:val="20"/>
        </w:rPr>
        <w:t xml:space="preserve">2. </w:t>
      </w:r>
      <w:r>
        <w:rPr>
          <w:rFonts w:ascii="Calibri" w:hAnsi="Calibri"/>
          <w:b w:val="0"/>
          <w:color w:val="3A4A28"/>
          <w:sz w:val="20"/>
        </w:rPr>
        <w:t>Continued bolt-on M&amp;A execution within the fragmented specialty/wholesale brokerage market, sustaining the 21%+ five-year revenue CAGR</w:t>
      </w:r>
    </w:p>
    <w:p>
      <w:pPr>
        <w:spacing w:before="40" w:after="40"/>
        <w:ind w:left="283"/>
      </w:pPr>
      <w:r>
        <w:rPr>
          <w:rFonts w:ascii="Calibri" w:hAnsi="Calibri"/>
          <w:b/>
          <w:color w:val="4A6B25"/>
          <w:sz w:val="20"/>
        </w:rPr>
        <w:t xml:space="preserve">3. </w:t>
      </w:r>
      <w:r>
        <w:rPr>
          <w:rFonts w:ascii="Calibri" w:hAnsi="Calibri"/>
          <w:b w:val="0"/>
          <w:color w:val="3A4A28"/>
          <w:sz w:val="20"/>
        </w:rPr>
        <w:t>Resolution of the securities-law investigation without material findings, removing an overhang that has weighed on sentiment since the Q4 2025 selloff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guidance of mid-single-digit organic growth (down from 21%+ in 2025) with margin compression signals a genuine deceleration, not just conservative guidance</w:t>
      </w:r>
    </w:p>
    <w:p>
      <w:pPr>
        <w:spacing w:before="40" w:after="40"/>
        <w:ind w:left="283"/>
      </w:pPr>
      <w:r>
        <w:rPr>
          <w:rFonts w:ascii="Calibri" w:hAnsi="Calibri"/>
          <w:b/>
          <w:color w:val="4A6B25"/>
          <w:sz w:val="20"/>
        </w:rPr>
        <w:t xml:space="preserve">2. </w:t>
      </w:r>
      <w:r>
        <w:rPr>
          <w:rFonts w:ascii="Calibri" w:hAnsi="Calibri"/>
          <w:b w:val="0"/>
          <w:color w:val="3A4A28"/>
          <w:sz w:val="20"/>
        </w:rPr>
        <w:t>290% debt-to-equity leaves limited balance sheet flexibility if specialty/E&amp;S pricing conditions continue to soften</w:t>
      </w:r>
    </w:p>
    <w:p>
      <w:pPr>
        <w:spacing w:before="40" w:after="40"/>
        <w:ind w:left="283"/>
      </w:pPr>
      <w:r>
        <w:rPr>
          <w:rFonts w:ascii="Calibri" w:hAnsi="Calibri"/>
          <w:b/>
          <w:color w:val="4A6B25"/>
          <w:sz w:val="20"/>
        </w:rPr>
        <w:t xml:space="preserve">3. </w:t>
      </w:r>
      <w:r>
        <w:rPr>
          <w:rFonts w:ascii="Calibri" w:hAnsi="Calibri"/>
          <w:b w:val="0"/>
          <w:color w:val="3A4A28"/>
          <w:sz w:val="20"/>
        </w:rPr>
        <w:t>AI-driven underwriting and submission automation is already compressing quote-to-bind cycle times industry-wide, a structural risk to wholesale broker economics that analysts have explicitly flagged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Specialty wholesale brokerage retains real defensive moats — carrier relationships, delegated underwriting authority, and regulatory complexity that AI augments rather than replaces, with brokers described as 'increasingly essential to interpret AI model outputs... and advise clients on when to override' automated decisions [3]. However, analysts have specifically flagged 'sector-wide target cuts tied to AI disruption concerns and excess and surplus market deceleration' for E&amp;S brokers, and AI-driven underwriting workflow automation is compressing quote times industry-wide, creating real competitive and margin pressure on the submission-intake layer of RYAN's business [1][3]. AI Opportunity (0/1): No RYAN-specific quantified AI revenue was found; the company appears to be an AI adopter for internal efficiency rather than an AI revenue generator.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Ryan Specialty Reports First Quarter 2026 Results — ir.ryanspecialty.com, businesswire.com, April 2026</w:t>
      </w:r>
    </w:p>
    <w:p>
      <w:pPr>
        <w:spacing w:before="20" w:after="20"/>
        <w:ind w:left="170"/>
      </w:pPr>
      <w:r>
        <w:rPr>
          <w:rFonts w:ascii="Calibri" w:hAnsi="Calibri"/>
          <w:b/>
          <w:color w:val="4A6B25"/>
          <w:sz w:val="15"/>
        </w:rPr>
        <w:t xml:space="preserve">2. </w:t>
      </w:r>
      <w:r>
        <w:rPr>
          <w:rFonts w:ascii="Calibri" w:hAnsi="Calibri"/>
          <w:b w:val="0"/>
          <w:color w:val="3A4A28"/>
          <w:sz w:val="17"/>
        </w:rPr>
        <w:t>Ryan Specialty Holdings Revenue History (2021-2025) — MacroTrends, StockAnalysis.com, WallStreetZen,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Insurance Brokerage AI Disruption and Underwriting Automation Trends — Insurance Business Magazine, McKinsey, boundai.ai, 2026</w:t>
      </w:r>
    </w:p>
    <w:p>
      <w:pPr>
        <w:spacing w:before="20" w:after="20"/>
        <w:ind w:left="170"/>
      </w:pPr>
      <w:r>
        <w:rPr>
          <w:rFonts w:ascii="Calibri" w:hAnsi="Calibri"/>
          <w:b/>
          <w:color w:val="4A6B25"/>
          <w:sz w:val="15"/>
        </w:rPr>
        <w:t xml:space="preserve">4. </w:t>
      </w:r>
      <w:r>
        <w:rPr>
          <w:rFonts w:ascii="Calibri" w:hAnsi="Calibri"/>
          <w:b w:val="0"/>
          <w:color w:val="3A4A28"/>
          <w:sz w:val="17"/>
        </w:rPr>
        <w:t>Ryan Specialty Glassdoor Employee Reviews — Glassdoor.com,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Patrick G. Ryan Insider Share Purchases (SEC Form 4) — StockTitan, SahmCapital,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