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RYN</w:t>
      </w:r>
      <w:r>
        <w:rPr>
          <w:rFonts w:ascii="Calibri" w:hAnsi="Calibri"/>
          <w:b/>
          <w:color w:val="1A2010"/>
          <w:sz w:val="40"/>
        </w:rPr>
        <w:t xml:space="preserve">  Rayonier Inc.</w:t>
      </w:r>
    </w:p>
    <w:p>
      <w:pPr>
        <w:spacing w:after="120"/>
      </w:pPr>
      <w:r>
        <w:rPr>
          <w:rFonts w:ascii="Calibri" w:hAnsi="Calibri"/>
          <w:b/>
          <w:color w:val="6E8450"/>
          <w:sz w:val="18"/>
        </w:rPr>
        <w:t>DIVIDEND SLEEVE · 2026-07-08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Rayonier Inc. is one of the largest timberland real estate investment trusts in the United States, owning or managing approximately 4.2 million acres of timberland across 11 states following its January 2026 merger with PotlatchDeltic Corporation. The company operates through Southern Timber, Northwest Timber, Real Estate, and Wood Products segments, with six wood products manufacturing facilities producing lumber and related products. Rayonier's land-based solutions business supports climate change mitigation through carbon sequestration and renewable energy projects. Headquartered in Wildlight, Florida.</w:t>
      </w:r>
    </w:p>
    <w:p>
      <w:r>
        <w:rPr>
          <w:rFonts w:ascii="Calibri" w:hAnsi="Calibri"/>
          <w:b/>
          <w:color w:val="6E8450"/>
          <w:sz w:val="18"/>
        </w:rPr>
        <w:t>1,800 Employees · https://www.rayonier.com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Rayonier executed two transformative transactions in 2025-2026 that fundamentally reshaped the company — the $710M sale of New Zealand operations in June 2025 (exiting international timberlands) and the merger with PotlatchDeltic Corporation completed January 2026, creating the largest US-focused timberland REIT with 4.2 million acres and six wood products manufacturing facilities [1][2]. These represent genuinely strategic moves that redefined the company's scope and competitive position. AI Deployment (0/2): No evidence of AI deployment or AI-powered products. Timber harvesting, forest management, and wood products manufacturing are traditional physical operations with no reported AI integration [4]. Market Share (2/2): Following the PotlatchDeltic merger, Rayonier is now the largest pure-play timberland REIT in the United States with approximately 4.2M acres across 11 states, surpassing Weyerhaeuser in pure timberland acreage [1]. This category leadership position is a direct result of the merger strategy. Product Pipeline (1/2): Six wood products manufacturing facilities expect to ship more than 1 billion board-feet of lumber in 2026, and the land-based solutions business is expanding to support climate mitigation [1]. Real Estate segment delivered $46.2M adjusted EBITDA in Q1 2026, above high-end guidance. But these are existing operations, not next-generation products. R&amp;D Intensity (0/1): R&amp;D spending is minimal for a timberland REIT — the business is asset management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Rayonier's stated purpose emphasizes 'responsible stewardship' of forest ecosystems, including wildlife, soils, and water, 'for both current and future generations' [4]. The company has committed to The Climate Pledge, maintains third-party forest certification across its timberlands, and has developed a land-based solutions business explicitly addressing climate change through carbon sequestration. This is specific, thoughtful, and genuinely connects the company's work to environmental sustainability — you can tell leadership has invested in articulating why forest stewardship matters beyond profit. Community Impact (1/2): Rayonier's sustainability commitments include third-party forest certification, environmental risk mitigation, and land-based solutions for climate change. The company publishes comprehensive sustainability reports and has embedded environmental responsibility into its business model [4]. These are genuine but primarily business-integrated rather than separate charitable investments. Employee Retention (1/2): Former CEO Dave Nunes served for a decade (2014-2023), championing 'the empowerment of employees and allowing all of them to take ownership and responsibility in decision-making processes' [5]. The succession to Mark McHugh was smooth and planned, suggesting organizational stability and trust at the leadership level. No specific tenure or turnover data available for the broader organization.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The PotlatchDeltic merger dramatically reshaped Rayonier's financial profile, making YoY comparisons difficult. D/E of 47% is well below the 70% target, providing conservative leverage for a REIT [3]. ROE of 3.63% is low, reflecting the enlarged equity base post-merger and Q1 2026 net loss of $12.4M that included merger integration costs [1][3]. Q1 2026 revenue of $277M was up 233.8% YoY — entirely driven by the PotlatchDeltic merger adding six wood products facilities and expanded timberland holdings, not organic growth [1]. Forward PE of 49.6x reflects very modest normalized earnings expectations for a timber REIT with significant depreciation and amortization. Net profit margin of approximately -4.5% in Q1 2026 includes merger-related costs; operating margin of 5.95% better represents ongoing profitability [1]. Dividend profile is mixed: 5.33% yield is attractive, payout ratio of 44.7% is sustainable, and Rayonier has paid dividends continuously for 20+ years as a REIT, but consecutive years of growth is limited (~3 years) and 5-year dividend growth CAGR is approximately 2% [3]. Liquidity floor cleared: estimated 3.0M avg vol x $19.51 = $58.5M.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Rayonier demonstrates meaningful infinite game characteristics grounded in its stewardship-oriented purpose and multi-generational land management perspective. Timber REITs are inherently long-term businesses — trees take 25-30 years to mature for harvest, requiring patient capital allocation and intergenerational thinking. The company's commitment to The Climate Pledge, third-party forest certification, and land-based solutions for climate mitigation reflect a purpose beyond quarterly earnings. However, the company has undergone significant strategic changes (NZ divestiture, PotlatchDeltic merger) that, while strategically sound, introduce execution risk and suggest reactive positioning rather than cause-driven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Rayonier's purpose of responsible forest stewardship 'for both current and future generations' is genuine and connects to the larger cause of environmental sustainability and intergenerational resource management [4]. The company has operated in the timber industry for over 90 years, and the inherent time horizon of forestry (25-30 year growth cycles) naturally aligns with infinite game thinking. Commitment to The Climate Pledge and development of land-based solutions business demonstrate purpose-driven business evolution. However, the purpose hasn't been tested through a truly existential crisis, and the strategic pivots (NZ sale, PotlatchDeltic merger) were driven more by market positioning than by advancing the stewardship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Former CEO Dave Nunes served for a decade and built a 'culture of accountability and trust' that championed employee empowerment and decision-making ownership [5]. The succession to Mark McHugh was smooth and well-planned, demonstrating organizational stability at the leadership level. However, the PotlatchDeltic merger doubles the organization and introduces integration challenges — merging two corporate cultures, management teams, and operating philosophies creates trust-building demands that are still in progress [1]. No specific employee retention data, turnover statistics, or cultural survey results available for the combined entity.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Rayonier competes with Weyerhaeuser and other timberland owners in a market where competitive dynamics focus on operational efficiency, forest management quality, and sustainable practices rather than aggressive market share battles. The PotlatchDeltic merger was a 'merger of equals' — language that reflects mutual respect rather than conquest [1]. The company's approach to the timber market emphasizes responsible stewardship and long-term value creation, framing competition as a catalyst for improving forest management practices rather than a zero-sum game.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Rayonier has demonstrated significant strategic flexibility in 2025-2026 — selling its entire New Zealand operations for $710M to exit international timberlands, and then merging with PotlatchDeltic to create the largest US-focused timberland REIT [1][2]. These are meaningful strategic pivots that fundamentally reshaped the company. The development of a land-based solutions business for carbon sequestration and climate mitigation represents business model evolution. However, these moves are within the timber/land management domain — the company has not made a transformative leap into an entirely different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New Zealand operations for $710M and execute the PotlatchDeltic merger required significant leadership conviction — divesting a longstanding international business to concentrate on the US market, and betting the company's future on a transformative merger [1][2]. These are consequential, irreversible strategic decisions. The commitment to The Climate Pledge and land-based solutions represents investment in long-term capabilities with uncertain near-term returns. However, the NZ sale was partly driven by simplification logic and the merger by financial synergies — these are strategically sound decisions rather than against-the-grain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Rayonier is now the largest US-focused timberland REIT with 4.2 million acres following the January 2026 PotlatchDeltic merger, creating a differentiated platform combining timber harvesting, six wood products manufacturing facilities, real estate development, and land-based solutions [1]. The 5.33% dividend yield is supported by a sustainable 44.7% payout ratio and conservative D/E of 47% [3]. Q1 2026 highlights demonstrated early merger benefits: Northwest Timber adjusted EBITDA up 45% from incremental PotlatchDeltic harvest volume, and Real Estate segment EBITDA of $46.2M exceeded high-end guidance [1]. The company expects to ship over 1 billion board-feet of lumber in 2026, providing meaningful wood products revenue. At a $5-6B enterprise value, the stock trades at a modest premium to timber asset NAV with optionality from real estate development, carbon sequestration credits, and potential AI data center construction demand for lumber.</w:t>
      </w:r>
    </w:p>
    <w:p>
      <w:pPr>
        <w:spacing w:after="120"/>
      </w:pPr>
      <w:r>
        <w:rPr>
          <w:rFonts w:ascii="Calibri" w:hAnsi="Calibri"/>
          <w:b w:val="0"/>
          <w:color w:val="3A4A28"/>
          <w:sz w:val="20"/>
        </w:rPr>
        <w:t>The bear case centers on integration risk, timber market cyclicality, and valuation uncertainty. The PotlatchDeltic merger creates a significantly more complex organization — integrating six manufacturing facilities, different timber basins, and two corporate cultures introduces execution risk reflected in the Q1 2026 net loss of $12.4M [1]. Forward PE of 49.6x is extremely elevated even for a REIT, reflecting very low normalized earnings per share after the enlarged share count and significant D&amp;A charges [3]. Timber and lumber prices are cyclical and sensitive to housing starts, interest rates, and construction activity — a prolonged housing downturn would compress both timber realizations and wood products margins. ROE of 3.63% is well below the 15% target, and 5-year dividend growth CAGR of approximately 2% barely keeps pace with inflation. The Q1 2026 net loss and -4.5% net margin suggest the combined entity is not yet generating adequate returns on the expanded asset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PotlatchDeltic merger synergy realization — 45% increase in Northwest Timber EBITDA from incremental harvest volume demonstrates early integration benefits, with full-year manufacturing and operational synergies expected to materialize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Wood products manufacturing ramp-up targeting 1 billion+ board-feet of lumber shipments in 2026, providing revenue diversification beyond timber harvesting and real estate</w:t>
      </w:r>
    </w:p>
    <w:p>
      <w:pPr>
        <w:spacing w:before="40" w:after="40"/>
        <w:ind w:left="283"/>
      </w:pPr>
      <w:r>
        <w:rPr>
          <w:rFonts w:ascii="Calibri" w:hAnsi="Calibri"/>
          <w:b/>
          <w:color w:val="4A6B25"/>
          <w:sz w:val="20"/>
        </w:rPr>
        <w:t xml:space="preserve">3. </w:t>
      </w:r>
      <w:r>
        <w:rPr>
          <w:rFonts w:ascii="Calibri" w:hAnsi="Calibri"/>
          <w:b w:val="0"/>
          <w:color w:val="3A4A28"/>
          <w:sz w:val="20"/>
        </w:rPr>
        <w:t>Land-based solutions growth including carbon sequestration credits, renewable energy siting, and conservation easements on 4.2M acres, creating optionality as carbon markets and climate investment expand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execution risk — combining two corporate cultures, six manufacturing facilities, and timber operations across 11 states introduces operational complexity reflected in Q1 2026 net loss of $12.4M</w:t>
      </w:r>
    </w:p>
    <w:p>
      <w:pPr>
        <w:spacing w:before="40" w:after="40"/>
        <w:ind w:left="283"/>
      </w:pPr>
      <w:r>
        <w:rPr>
          <w:rFonts w:ascii="Calibri" w:hAnsi="Calibri"/>
          <w:b/>
          <w:color w:val="4A6B25"/>
          <w:sz w:val="20"/>
        </w:rPr>
        <w:t xml:space="preserve">2. </w:t>
      </w:r>
      <w:r>
        <w:rPr>
          <w:rFonts w:ascii="Calibri" w:hAnsi="Calibri"/>
          <w:b w:val="0"/>
          <w:color w:val="3A4A28"/>
          <w:sz w:val="20"/>
        </w:rPr>
        <w:t>Forward PE of 49.6x reflects very low normalized earnings after enlarged share count and significant D&amp;A — any shortfall in merger synergies or timber pricing weakness could compress an already modest earnings base</w:t>
      </w:r>
    </w:p>
    <w:p>
      <w:pPr>
        <w:spacing w:before="40" w:after="40"/>
        <w:ind w:left="283"/>
      </w:pPr>
      <w:r>
        <w:rPr>
          <w:rFonts w:ascii="Calibri" w:hAnsi="Calibri"/>
          <w:b/>
          <w:color w:val="4A6B25"/>
          <w:sz w:val="20"/>
        </w:rPr>
        <w:t xml:space="preserve">3. </w:t>
      </w:r>
      <w:r>
        <w:rPr>
          <w:rFonts w:ascii="Calibri" w:hAnsi="Calibri"/>
          <w:b w:val="0"/>
          <w:color w:val="3A4A28"/>
          <w:sz w:val="20"/>
        </w:rPr>
        <w:t>Timber and lumber price cyclicality tied to housing starts and interest rates — with US housing activity facing affordability constraints, extended weakness in construction demand would compress both timber realizations and wood products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Rayonier's core business operations are entirely immune to AI disruption — growing trees, managing forest ecosystems, harvesting timber, manufacturing lumber, and developing real estate are physical-world activities that require land ownership, biological growth cycles, heavy equipment, and local regulatory compliance [1][4]. AI cannot grow a tree faster, harvest timber remotely, or manufacture lumber without physical facilities. The 4.2 million acres of owned timberland represent an irreplaceable physical asset. Furthermore, AI growth may actually increase demand for Rayonier's products: data center construction requires lumber, cross-laminated timber is gaining share in commercial construction, and carbon sequestration credits from managed forests may benefit from AI-driven demand for carbon offsets. Analysts express zero concern about AI disrupting timberland REITs. AI Opportunity (0/1): No AI-generated revenue. Forest management and lumber manufacturing have no AI product component, and no AI-driven operational efficiencies have been reported or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Rayonier Q1 2026 Results — revenue $277M, net loss $12.4M, NW Timber EBITDA +45%, Real Estate EBITDA $46.2M above high-end guidance, 1B+ board-feet lumber target, ir.rayonier.com, May 2026</w:t>
      </w:r>
    </w:p>
    <w:p>
      <w:pPr>
        <w:spacing w:before="20" w:after="20"/>
        <w:ind w:left="170"/>
      </w:pPr>
      <w:r>
        <w:rPr>
          <w:rFonts w:ascii="Calibri" w:hAnsi="Calibri"/>
          <w:b/>
          <w:color w:val="4A6B25"/>
          <w:sz w:val="15"/>
        </w:rPr>
        <w:t xml:space="preserve">2. </w:t>
      </w:r>
      <w:r>
        <w:rPr>
          <w:rFonts w:ascii="Calibri" w:hAnsi="Calibri"/>
          <w:b w:val="0"/>
          <w:color w:val="3A4A28"/>
          <w:sz w:val="17"/>
        </w:rPr>
        <w:t>Rayonier Q4 FY2025 Results — FY2025 revenue $484.5M, net income $474.4M (including NZ sale gain), PotlatchDeltic merger completed January 2026, SEC Filing 8-K,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RYN Statistics: forward PE 49.61, D/E 47%, ROE 3.63%, dividend yield 5.33%, payout ratio 44.72%,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Rayonier Corporate Responsibility — The Climate Pledge commitment, third-party forest certification, land-based solutions for climate mitigation, rayonier.com,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Rayonier Leadership — CEO Dave Nunes decade-long tenure, succession to Mark McHugh, culture of accountability and trust, ir.rayonier.com,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