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SBRA</w:t>
      </w:r>
      <w:r>
        <w:rPr>
          <w:rFonts w:ascii="Calibri" w:hAnsi="Calibri"/>
          <w:b/>
          <w:color w:val="1A2010"/>
          <w:sz w:val="40"/>
        </w:rPr>
        <w:t xml:space="preserve">  Sabra Health Care REIT, Inc.</w:t>
      </w:r>
    </w:p>
    <w:p>
      <w:pPr>
        <w:spacing w:after="120"/>
      </w:pPr>
      <w:r>
        <w:rPr>
          <w:rFonts w:ascii="Calibri" w:hAnsi="Calibri"/>
          <w:b/>
          <w:color w:val="6E8450"/>
          <w:sz w:val="18"/>
        </w:rPr>
        <w:t>DIVIDEND SLEEVE · 2026-07-11 · Inspire: 37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Healthcare · NasdaqGS · United States</w:t>
      </w:r>
    </w:p>
    <w:p>
      <w:pPr>
        <w:spacing w:after="80"/>
      </w:pPr>
      <w:r>
        <w:rPr>
          <w:rFonts w:ascii="Calibri" w:hAnsi="Calibri"/>
          <w:b w:val="0"/>
          <w:color w:val="3A4A28"/>
          <w:sz w:val="20"/>
        </w:rPr>
        <w:t>Sabra Health Care REIT, Inc. is a self-administered, self-managed real estate investment trust that owns and invests in skilled nursing facilities, senior housing communities, behavioral health facilities, and other healthcare properties across the United States and Canada. The company is actively pivoting its portfolio toward managed senior housing (SHOP), targeting 30-40% SHOP exposure by end of 2026, while skilled nursing declines to approximately 47% of NOI. Sabra invested approximately $450M in 2025 — its most substantial investment year since before the pandemic — and surpassed 50% private pay concentration for the first time in company history.</w:t>
      </w:r>
    </w:p>
    <w:p>
      <w:r>
        <w:rPr>
          <w:rFonts w:ascii="Calibri" w:hAnsi="Calibri"/>
          <w:b/>
          <w:color w:val="6E8450"/>
          <w:sz w:val="18"/>
        </w:rPr>
        <w:t>58 Employees · https://www.sabrahealth.com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Sabra executed its most substantial investment year since pre-pandemic in 2025, deploying approximately $450M primarily in senior housing acquisitions [1][2]. The strategic pivot from skilled nursing dominance toward SHOP is well-timed given demographic tailwinds, and surpassing 50% private pay concentration for the first time in company history reduces government reimbursement risk [3]. However, property acquisition is not innovation in the traditional sense — Sabra is executing a portfolio rotation, not creating new capabilities or products. AI Deployment (0/2): Healthcare REITs have minimal AI deployment. Sabra's business model of owning and leasing physical healthcare properties does not lend itself to meaningful AI integration. Some property analytics and tenant monitoring tools may be used but no evidence of AI-driven competitive advantage. Market Share (1/2): Sabra is a mid-sized healthcare REIT with a focused portfolio, smaller than leaders Welltower and Ventas. However, the company has carved a niche in skilled nursing and is building meaningful SHOP exposure, with year-to-date 2026 acquisitions of $277M at 7.9% initial cash yield demonstrating competitive deal sourcing [2]. Product Pipeline (1/2): The awarded investment pipeline of nearly $410M at 6.8% estimated initial yield provides near-term visibility [2]. The baby boomer demographic wave and limited new senior housing supply create a secular tailwind that should support acquisition opportunities for years. However, pipeline is acquisition-dependent rather than organic growth. R&amp;D Intensity (0/1): REITs do not conduct R&amp;D — capital is deployed into property acquisitions and improvements rather than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CEO Rick Matros has led Sabra since its founding, providing consistent leadership and strategic direction for the healthcare REIT [3]. The company's purpose of providing capital for senior care and healthcare facilities is enduring and societally meaningful — these facilities care for aging Americans and skilled nursing patients. However, Sabra's mission articulation remains primarily financial (returns, yield, portfolio optimization) rather than purpose-driven. There is no publicly articulated Just Cause beyond being a well-run healthcare REIT. Community Impact (1/2): Sabra's Inspire Impact score of 37 (ALIGNED) with positive attributions across Data Security, Energy Management, Hiring Ethics, Regulatory Adherence, Waste and Hazmat Management, and Water Conservation indicates meaningful ESG commitment at the property level [4]. By investing in healthcare facilities, Sabra indirectly enables care for vulnerable populations. The shift toward managed SHOP gives the company more operational control over care quality. Employee Retention (0/2): With only 58 employees, Sabra's workforce is too small to meaningfully assess culture, retention, or team dynamics. This is typical of self-managed REITs where most operational staff belong to property operators rather than the REIT itself. Insider Buying (1/2): Matros has maintained leadership since founding, suggesting personal commitment. Recent insider activity shows stock award grants to CEO Matros and CFO Costa, with limited net buying beyond compensation-based awards.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revenue of $221.75M reflected continued portfolio growth, with normalized FFO of $0.38 per share and normalized AFFO of $0.39 per share [1]. The quarterly dividend of $0.30 per share represents 77% of normalized AFFO — a sustainable payout ratio for a healthcare REIT [1]. The headline GAAP payout ratio of 190.48% is misleading as REITs are properly evaluated on AFFO-based coverage. Dividend yield of 6.04% is attractive and well-supported by AFFO. D/E of 95.9% is moderate for a REIT (sector typically operates with higher leverage). ROE of 5.68% is low but consistent with REIT accounting where property depreciation depresses reported equity returns [1]. Revenue growth of 21.7% is strong, driven by SHOP same-store NOI growth of 14.4% YoY and new acquisitions, with same-store occupancy up 280 basis points to 88.4% [2]. Profit margin of 19.15% is decent. The primary weakness is valuation — Forward P/E of 26.26 is elevated for a healthcare REIT, and PEG of 5.28 is very high, suggesting the stock is priced for significant growth that may already be reflected. 2026 guidance of normalized FFO of $1.49-$1.53 per share (5% YoY growth) is modest relative to the valuation premium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Sabra under Rick Matros operates as a competent, financially disciplined healthcare REIT that has demonstrated adaptability in shifting its portfolio toward senior housing. However, the company plays more of a finite game — optimizing yields, managing tenant relationships, and executing acquisitions within a well-defined playbook. There is no transcendent Just Cause articulated beyond financial returns, and the 58-person team size limits the organizational depth required for fully infinite game characteristics. The portfolio pivot is smart but incremental rather than transformative.</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Rick Matros has led Sabra since founding with a focus on healthcare real estate investment. The implicit cause — providing capital that enables healthcare facility development and senior care — is societally meaningful but is not articulated as a Just Cause by leadership [3]. Strategic communications focus on yields, coverage ratios, and portfolio optimization rather than a purpose beyond financial returns. The pivot toward SHOP and private pay concentration suggests financial optimization (higher returns, lower reimbursement risk) rather than mission-driven expansion of care access.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only 58 employees, Sabra's organizational culture is difficult to assess at scale [1]. The small team size suggests tight operational efficiency but limits the depth of organizational trust dynamics that the infinite game framework evaluates. Matros' long tenure as CEO provides leadership stability, and the company's consistent execution suggests functional team alignment. However, REIT management teams are primarily financial operators managing external tenant relationships, which is a different trust dynamic than product-building organizations.</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Matros acknowledged 'fierce competition from OpCo and PropCo private buyers' for skilled nursing deals, demonstrating awareness of the competitive landscape [3]. The strategic response — shifting toward SHOP where Sabra can differentiate through operational management rather than just capital — shows some rival-informed strategy. Sabra competes with much larger healthcare REITs (Welltower, Ventas) and recognizes its differentiated positioning in the mid-market, though there is limited evidence of using rivals' strengths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Sabra has executed a meaningful portfolio pivot over 2024-2026, shifting from skilled nursing dominance (now 47% of NOI, down from majority) toward managed SHOP exposure targeting 30-40% [2][3]. Surpassing 50% private pay concentration for the first time reduces government reimbursement dependence. This pivot demonstrates strategic flexibility in response to changing market conditions — post-pandemic skilled nursing challenges, baby boomer demographics favoring senior housing, and superior SHOP growth potential. However, the pivot is gradual and incremental rather than transformative, operating within the existing healthcare REIT framework.</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Matros' projection of 'robust' 2026 portfolio growth eclipsing 2025's $450M record demonstrates confidence in the SHOP strategy [3]. The willingness to opportunistically sell skilled nursing properties ($79M in April 2026) while aggressively acquiring senior housing shows strategic discipline [2]. However, these are prudent portfolio management decisions rather than courageous bets that risk near-term performance for long-term positioning. The frozen $1.20 annual dividend since 2021 (following a 33% cut during COVID) reflects cautious rather than bold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Sabra Health Care REIT offers a 6.04% dividend yield supported by 77% AFFO payout coverage, positioned to benefit from the most powerful demographic tailwind in U.S. real estate — 10,000 Americans turning 65 daily with limited new senior housing supply [1][2]. The strategic pivot from skilled nursing dominance toward managed SHOP (targeting 30-40% exposure) is well-timed, with same-store SHOP cash NOI growing 14.4% YoY and occupancy up 280 basis points to 88.4% [2]. The $277M in year-to-date 2026 acquisitions at 7.9% initial cash yield and $410M awarded pipeline demonstrate active deal sourcing [2]. Surpassing 50% private pay concentration for the first time reduces government reimbursement risk and improves revenue predictability [3]. Normalized FFO guidance of $1.49-$1.53 per share represents 5% YoY growth, providing a foundation for continued dividend support.</w:t>
      </w:r>
    </w:p>
    <w:p>
      <w:pPr>
        <w:spacing w:after="120"/>
      </w:pPr>
      <w:r>
        <w:rPr>
          <w:rFonts w:ascii="Calibri" w:hAnsi="Calibri"/>
          <w:b w:val="0"/>
          <w:color w:val="3A4A28"/>
          <w:sz w:val="20"/>
        </w:rPr>
        <w:t>The primary concern is valuation relative to growth. At 26.26x forward earnings and PEG of 5.28, Sabra is priced for growth acceleration that the 5% FFO guidance does not yet support [1]. The GAAP payout ratio of 190.48% — while misleading for a REIT — highlights the gap between reported earnings and distributable cash flow that may concern generalist investors unfamiliar with REIT accounting. D/E of 95.9% is moderate but rising interest rates would pressure refinancing costs and acquisition yields. The SHOP pivot introduces operational risk — unlike triple-net leases where tenants bear operational costs, managed SHOP properties expose Sabra to labor costs, occupancy fluctuations, and operational execution. The $1.20 annual dividend has been frozen since 2021 following a 33% cut during COVID, and the 5-year dividend CAGR of -7.8% penalizes income-growth investors [3]. Skilled nursing tenant concentration remains a risk, with top relationships critical to portfolio NOI, and competition for senior housing acquisitions is intensifying as capital floods into the demographic-driven theme.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Baby boomer demographic wave driving sustained demand for senior housing with limited new supply, supporting occupancy gains and rent growth across Sabra's SHOP portfolio through the rest of the decade</w:t>
      </w:r>
    </w:p>
    <w:p>
      <w:pPr>
        <w:spacing w:before="40" w:after="40"/>
        <w:ind w:left="283"/>
      </w:pPr>
      <w:r>
        <w:rPr>
          <w:rFonts w:ascii="Calibri" w:hAnsi="Calibri"/>
          <w:b/>
          <w:color w:val="4A6B25"/>
          <w:sz w:val="20"/>
        </w:rPr>
        <w:t xml:space="preserve">2. </w:t>
      </w:r>
      <w:r>
        <w:rPr>
          <w:rFonts w:ascii="Calibri" w:hAnsi="Calibri"/>
          <w:b w:val="0"/>
          <w:color w:val="3A4A28"/>
          <w:sz w:val="20"/>
        </w:rPr>
        <w:t>SHOP exposure expansion toward 30-40% of portfolio providing higher growth potential and operational upside versus triple-net skilled nursing, with same-store NOI already growing 14.4% YoY</w:t>
      </w:r>
    </w:p>
    <w:p>
      <w:pPr>
        <w:spacing w:before="40" w:after="40"/>
        <w:ind w:left="283"/>
      </w:pPr>
      <w:r>
        <w:rPr>
          <w:rFonts w:ascii="Calibri" w:hAnsi="Calibri"/>
          <w:b/>
          <w:color w:val="4A6B25"/>
          <w:sz w:val="20"/>
        </w:rPr>
        <w:t xml:space="preserve">3. </w:t>
      </w:r>
      <w:r>
        <w:rPr>
          <w:rFonts w:ascii="Calibri" w:hAnsi="Calibri"/>
          <w:b w:val="0"/>
          <w:color w:val="3A4A28"/>
          <w:sz w:val="20"/>
        </w:rPr>
        <w:t>Private pay concentration exceeding 50% for the first time reducing government reimbursement dependency and improving revenue quality and predictability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PEG of 5.28 and Forward P/E of 26.26 reflect a premium valuation relative to the 5% normalized FFO growth guidance — any growth disappointment or interest rate spike could compress the multiple significantly</w:t>
      </w:r>
    </w:p>
    <w:p>
      <w:pPr>
        <w:spacing w:before="40" w:after="40"/>
        <w:ind w:left="283"/>
      </w:pPr>
      <w:r>
        <w:rPr>
          <w:rFonts w:ascii="Calibri" w:hAnsi="Calibri"/>
          <w:b/>
          <w:color w:val="4A6B25"/>
          <w:sz w:val="20"/>
        </w:rPr>
        <w:t xml:space="preserve">2. </w:t>
      </w:r>
      <w:r>
        <w:rPr>
          <w:rFonts w:ascii="Calibri" w:hAnsi="Calibri"/>
          <w:b w:val="0"/>
          <w:color w:val="3A4A28"/>
          <w:sz w:val="20"/>
        </w:rPr>
        <w:t>SHOP operational exposure introduces labor cost, occupancy, and execution risk that triple-net leases insulate against — Sabra is transitioning from a rent collector to a partial operator without deep operational expertise</w:t>
      </w:r>
    </w:p>
    <w:p>
      <w:pPr>
        <w:spacing w:before="40" w:after="40"/>
        <w:ind w:left="283"/>
      </w:pPr>
      <w:r>
        <w:rPr>
          <w:rFonts w:ascii="Calibri" w:hAnsi="Calibri"/>
          <w:b/>
          <w:color w:val="4A6B25"/>
          <w:sz w:val="20"/>
        </w:rPr>
        <w:t xml:space="preserve">3. </w:t>
      </w:r>
      <w:r>
        <w:rPr>
          <w:rFonts w:ascii="Calibri" w:hAnsi="Calibri"/>
          <w:b w:val="0"/>
          <w:color w:val="3A4A28"/>
          <w:sz w:val="20"/>
        </w:rPr>
        <w:t>Healthcare regulatory risk from potential Medicare/Medicaid reimbursement changes and state staffing mandates could pressure skilled nursing tenant coverage ratios and rent affordability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Healthcare real estate is structurally insulated from AI disruption. Physical buildings that house skilled nursing patients and senior living residents cannot be replaced by software — aging populations require physical care facilities, and the buildings themselves are irreducible physical assets [1][2]. Sabra's triple-net lease model further insulates the REIT, as tenants bear operational risk while Sabra collects contractual rent. The baby boomer demographic wave creates demand that AI cannot substitute [2]. However, AI-enabled remote health monitoring, telemedicine, and predictive analytics could eventually reduce the intensity of facility-based care, potentially dampening demand growth at the margin. AI could also help competing operators optimize facility operations, putting pressure on Sabra's less tech-savvy tenants. The shift toward SHOP gives Sabra more exposure to operational technology but also more operational risk. Interest rate sensitivity and government reimbursement policy are far greater risks than AI disruption. AI Opportunity (1/1): AI tools could modestly benefit Sabra's operations — property analytics for acquisition targeting, predictive modeling for tenant creditworthiness, and operational optimization in managed SHOP properties. AI-powered health monitoring in senior housing could improve care outcomes and occupancy. However, AI is not a material competitive differentiator for healthcare REITs.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Sabra Health Care REIT Q1 2026 Results and Financial Summary — TipRanks, SEC Form 8-K, April 2026</w:t>
      </w:r>
    </w:p>
    <w:p>
      <w:pPr>
        <w:spacing w:before="20" w:after="20"/>
        <w:ind w:left="170"/>
      </w:pPr>
      <w:r>
        <w:rPr>
          <w:rFonts w:ascii="Calibri" w:hAnsi="Calibri"/>
          <w:b/>
          <w:color w:val="4A6B25"/>
          <w:sz w:val="15"/>
        </w:rPr>
        <w:t xml:space="preserve">2. </w:t>
      </w:r>
      <w:r>
        <w:rPr>
          <w:rFonts w:ascii="Calibri" w:hAnsi="Calibri"/>
          <w:b w:val="0"/>
          <w:color w:val="3A4A28"/>
          <w:sz w:val="17"/>
        </w:rPr>
        <w:t>Sabra Q1 2026 Earnings Call Highlights and Senior Housing Strategy — Yahoo Finance, Simply Wall St, April 2026</w:t>
      </w:r>
    </w:p>
    <w:p>
      <w:pPr>
        <w:spacing w:before="20" w:after="20"/>
        <w:ind w:left="170"/>
      </w:pPr>
      <w:r>
        <w:rPr>
          <w:rFonts w:ascii="Calibri" w:hAnsi="Calibri"/>
          <w:b/>
          <w:color w:val="4A6B25"/>
          <w:sz w:val="15"/>
        </w:rPr>
        <w:t xml:space="preserve">3. </w:t>
      </w:r>
      <w:r>
        <w:rPr>
          <w:rFonts w:ascii="Calibri" w:hAnsi="Calibri"/>
          <w:b w:val="0"/>
          <w:color w:val="3A4A28"/>
          <w:sz w:val="17"/>
        </w:rPr>
        <w:t>Sabra CEO Rick Matros Strategic Commentary and Portfolio Shift — Skilled Nursing News, McKnight's Senior Living, 2025-2026</w:t>
      </w:r>
    </w:p>
    <w:p>
      <w:pPr>
        <w:spacing w:before="20" w:after="20"/>
        <w:ind w:left="170"/>
      </w:pPr>
      <w:r>
        <w:rPr>
          <w:rFonts w:ascii="Calibri" w:hAnsi="Calibri"/>
          <w:b/>
          <w:color w:val="4A6B25"/>
          <w:sz w:val="15"/>
        </w:rPr>
        <w:t xml:space="preserve">4. </w:t>
      </w:r>
      <w:r>
        <w:rPr>
          <w:rFonts w:ascii="Calibri" w:hAnsi="Calibri"/>
          <w:b w:val="0"/>
          <w:color w:val="3A4A28"/>
          <w:sz w:val="17"/>
        </w:rPr>
        <w:t>Inspire Insight — SBRA Faith-Based ESG Score and Attributions,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