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SCCO</w:t>
      </w:r>
      <w:r>
        <w:rPr>
          <w:rFonts w:ascii="Calibri" w:hAnsi="Calibri"/>
          <w:b/>
          <w:color w:val="1A2010"/>
          <w:sz w:val="40"/>
        </w:rPr>
        <w:t xml:space="preserve">  Southern Copper Corporation</w:t>
      </w:r>
    </w:p>
    <w:p>
      <w:pPr>
        <w:spacing w:after="120"/>
      </w:pPr>
      <w:r>
        <w:rPr>
          <w:rFonts w:ascii="Calibri" w:hAnsi="Calibri"/>
          <w:b/>
          <w:color w:val="6E8450"/>
          <w:sz w:val="18"/>
        </w:rPr>
        <w:t>DIVIDEND SLEEVE · 2026-07-19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Mining · NYSE · United States</w:t>
      </w:r>
    </w:p>
    <w:p>
      <w:pPr>
        <w:spacing w:after="80"/>
      </w:pPr>
      <w:r>
        <w:rPr>
          <w:rFonts w:ascii="Calibri" w:hAnsi="Calibri"/>
          <w:b w:val="0"/>
          <w:color w:val="3A4A28"/>
          <w:sz w:val="20"/>
        </w:rPr>
        <w:t>Southern Copper Corporation is one of the world's largest integrated copper producers, engaged in mining, smelting, and refining copper, molybdenum, zinc, and silver. Operations are concentrated in Peru and Mexico, with exploration activities in Argentina and Chile. The company is 88.9% owned by Grupo Mexico and holds one of the largest copper reserve bases in the industry. Headquartered in Phoenix, Arizona.</w:t>
      </w:r>
    </w:p>
    <w:p>
      <w:r>
        <w:rPr>
          <w:rFonts w:ascii="Calibri" w:hAnsi="Calibri"/>
          <w:b/>
          <w:color w:val="6E8450"/>
          <w:sz w:val="18"/>
        </w:rPr>
        <w:t>16,617 Employees · https://southerncoppercorp.com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SCCO has not pivoted its business model; growth comes from organic mine expansion (Buenavista Zinc-Silver, Pilares, El Pilar) rather than transformation. AI Deployment (0/2): No evidence found of AI-powered products or quantified AI-driven cost savings. Market Share (2/2): SCCO holds one of the largest copper reserve bases in the world and is a top-tier global producer across Peru and Mexico [1]. Product Pipeline (1/2): A $10.2B Mexico investment plan is pending regulatory talks and the Tia Maria project in Peru has specific reserves but has been stalled by community opposition since 2011, showing weak execution visibility [2][3]. R&amp;D Intensity (0/1): No evidence of above-average R&amp;D spend versus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SCCO's stated purpose — generating wealth for shareholders while upholding safety, ethics, and environmental stewardship, organized around 'Grow, Promote, Protect' pillars with a 2050 net-zero target — is clear but largely standard mining-industry ESG framing rather than a distinctive Just Cause [1]. Community Impact (2/2): The company has allocated approximately $379.9M since 2019 to social and philanthropic projects (~3.5% of net earnings annually) and launched an ESG medical program in Ilo, Peru [1]. Employee Retention (1/2): Glassdoor rates SCCO 4/5 stars with 77% of employees recommending the company, though culture and values scored only 3.3/5 with no specific tenure data [3]. Insider Buying (0/2): No insider buying data found; the company is navigating a leadership transition following the unexpected death of long-tenured CEO Oscar Gonzalez Rocha in April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Q1 2026 revenue reached $4.25B (up 36% YoY) with record net income of $1.58B, and FY2025 revenue grew 21.7% YoY to $13.42B with EPS up 35.7% to $5.19 [1][4]. ROE of 46.3% and profit margin of 34.1% are exceptional, and D/E of 62% is well below the 70% target [4]. Revenue growth 5yr CAGR is a more modest ~5.3% (FY2021 $10.9B to FY2025 $13.4B), reflecting copper-price cyclicality rather than structural growth, and Forward P/E of 23.3 is only slightly above the 20 target [4]. On dividend quality, SCCO has paid dividends for 28 consecutive years with a 5yr dividend growth CAGR of 7.2% (above the 2x-inflation target), though the payout ratio of 61.9% is elevated and consecutive years of dividend growth is only 2, reflecting historical dividend volatility tied to copper prices [5]. Liquidity floor cleared: ~1.26M avg daily volume x $172.48 = ~$217M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Southern Copper operates as a well-run, financially disciplined commodity producer, but the evidence points to a finite operating posture rather than a company built around an enduring Just Cause. The mission statement is standard mining-industry ESG language, the sudden loss of a 26-year CEO exposes leadership-succession fragility, and there is no evidence of a transformative strategic reinvention or explicit worthy-rival framing.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SCCO's purpose centers on shareholder wealth generation within safety and environmental guardrails — genuine in its $379.9M cumulative community investment but largely interchangeable with peer mining ESG commitments rather than a distinctive, resilient cause that has been stress-tested across decades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solid but not exceptional engagement (4/5 overall, 3.3/5 culture and values, 77% recommend), and the company had 26+ years of CEO stability under Oscar Gonzalez Rocha until his sudden death in April 2026 triggered an unplanned transition to Leonardo Contreras Lerdo de Tejada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SCCO publicly framing competitors as sources of self-improvement; competitive positioning centers on reserve base and cost curve rather than acknowledged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SCCO has diversified byproduct output (zinc, silver, molybdenum) and expanded exploration into Argentina and Chile, but this is incremental extension of the existing copper-mining model rather than a transformative pivot into a new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has committed to a $10.2B Mexico investment plan pending regulatory approval and has persisted with the Tia Maria project in Peru for over 15 years despite community opposition and fatal protests between 2011-2015, reflecting sustained long-term capital commitment through cycles, though the Tia Maria persistence also raises questions about social-license judgment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Copper delivered record Q1 2026 results with revenue of $4.25B (up 36% YoY) and net income of $1.58B (up 67%), supported by higher copper prices and low-cost operations in Peru and Mexico, prompting the company to raise its 2026 revenue forecast from $15.7B to $16.1B [1][4]. The business sits at the center of the AI-driven electrification supercycle: S&amp;P Global and J.P. Morgan project sharply rising copper demand from AI data centers and grid infrastructure buildout through 2040, positioning SCCO's large reserve base and low-cost Peru/Mexico assets as a structural beneficiary independent of any single company's AI strategy [6]. With ROE above 46%, profit margin above 34%, and D/E of just 62%, the balance sheet and profitability profile are best-in-class for a commodity producer, and the 28-year unbroken dividend record with a 5yr dividend growth CAGR of 7.2% supports the Dividend sleeve classification [4][5].</w:t>
      </w:r>
    </w:p>
    <w:p>
      <w:pPr>
        <w:spacing w:after="120"/>
      </w:pPr>
      <w:r>
        <w:rPr>
          <w:rFonts w:ascii="Calibri" w:hAnsi="Calibri"/>
          <w:b w:val="0"/>
          <w:color w:val="3A4A28"/>
          <w:sz w:val="20"/>
        </w:rPr>
        <w:t>The primary offsets are cyclicality and execution risk. Revenue growth 5yr CAGR of only ~5.3% reflects the volatility of copper prices rather than structural expansion, and 2026 copper production guidance of 911,400 tons represents a 4.7% decline versus 2025 output, meaning near-term earnings growth leans heavily on price rather than volume [4]. Governance continuity is a live concern following the sudden April 2026 death of CEO Oscar Gonzalez Rocha after 26 years at the helm, with new CEO Leonardo Contreras Lerdo de Tejada untested in the role [3]. Community and environmental friction is a structural risk specific to SCCO's jurisdictions — the Tia Maria project has been stalled since 2011 amid protests that turned fatal in 2011-2015, and the Los Chancas project camp was attacked and set on fire by a rioting mob, underscoring the social-license risk embedded in Peru and Mexico mining operations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grid electrification buildout structurally lifting copper demand, with S&amp;P Global projecting demand growth from 28 million to 42 million metric tons by 2040 and a widening supply deficit</w:t>
      </w:r>
    </w:p>
    <w:p>
      <w:pPr>
        <w:spacing w:before="40" w:after="40"/>
        <w:ind w:left="283"/>
      </w:pPr>
      <w:r>
        <w:rPr>
          <w:rFonts w:ascii="Calibri" w:hAnsi="Calibri"/>
          <w:b/>
          <w:color w:val="4A6B25"/>
          <w:sz w:val="20"/>
        </w:rPr>
        <w:t xml:space="preserve">2. </w:t>
      </w:r>
      <w:r>
        <w:rPr>
          <w:rFonts w:ascii="Calibri" w:hAnsi="Calibri"/>
          <w:b w:val="0"/>
          <w:color w:val="3A4A28"/>
          <w:sz w:val="20"/>
        </w:rPr>
        <w:t>Progress on the pending $10.2B Mexico investment plan and resolution of Tia Maria permitting in Peru, which could unlock meaningful new production capacity</w:t>
      </w:r>
    </w:p>
    <w:p>
      <w:pPr>
        <w:spacing w:before="40" w:after="40"/>
        <w:ind w:left="283"/>
      </w:pPr>
      <w:r>
        <w:rPr>
          <w:rFonts w:ascii="Calibri" w:hAnsi="Calibri"/>
          <w:b/>
          <w:color w:val="4A6B25"/>
          <w:sz w:val="20"/>
        </w:rPr>
        <w:t xml:space="preserve">3. </w:t>
      </w:r>
      <w:r>
        <w:rPr>
          <w:rFonts w:ascii="Calibri" w:hAnsi="Calibri"/>
          <w:b w:val="0"/>
          <w:color w:val="3A4A28"/>
          <w:sz w:val="20"/>
        </w:rPr>
        <w:t>Continued high copper prices sustaining record earnings, with 2026 revenue guidance already raised to $16.1B from $15.7B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copper production guidance implies a 4.7% year-over-year decline (911,400 tons vs. 956,270 tons in 2025), meaning earnings growth is dependent on price rather than volume</w:t>
      </w:r>
    </w:p>
    <w:p>
      <w:pPr>
        <w:spacing w:before="40" w:after="40"/>
        <w:ind w:left="283"/>
      </w:pPr>
      <w:r>
        <w:rPr>
          <w:rFonts w:ascii="Calibri" w:hAnsi="Calibri"/>
          <w:b/>
          <w:color w:val="4A6B25"/>
          <w:sz w:val="20"/>
        </w:rPr>
        <w:t xml:space="preserve">2. </w:t>
      </w:r>
      <w:r>
        <w:rPr>
          <w:rFonts w:ascii="Calibri" w:hAnsi="Calibri"/>
          <w:b w:val="0"/>
          <w:color w:val="3A4A28"/>
          <w:sz w:val="20"/>
        </w:rPr>
        <w:t>Unplanned CEO transition following Oscar Gonzalez Rocha's sudden death in April 2026 introduces leadership continuity risk after 26 years of stability</w:t>
      </w:r>
    </w:p>
    <w:p>
      <w:pPr>
        <w:spacing w:before="40" w:after="40"/>
        <w:ind w:left="283"/>
      </w:pPr>
      <w:r>
        <w:rPr>
          <w:rFonts w:ascii="Calibri" w:hAnsi="Calibri"/>
          <w:b/>
          <w:color w:val="4A6B25"/>
          <w:sz w:val="20"/>
        </w:rPr>
        <w:t xml:space="preserve">3. </w:t>
      </w:r>
      <w:r>
        <w:rPr>
          <w:rFonts w:ascii="Calibri" w:hAnsi="Calibri"/>
          <w:b w:val="0"/>
          <w:color w:val="3A4A28"/>
          <w:sz w:val="20"/>
        </w:rPr>
        <w:t>Community and regulatory opposition in Peru and Mexico (Tia Maria stalled since 2011, Los Chancas camp attacked and burned) represents a recurring structural risk to project execution and social license to operate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smelting, and refining are physical-world operations that AI cannot substitute or disrupt. More importantly, AI is a structural demand tailwind for SCCO's core product — S&amp;P Global projects AI data center copper demand reaching 475,000 tonnes annually in 2026, with a single large AI data center requiring up to 50,000 tonnes, and total global copper demand projected to surge 50% by 2040 driven substantially by AI-era electrification [6]. Analysts see zero substitution risk and increasing structural demand. AI Opportunity (0/1): SCCO does not report AI-specific product revenue; it benefits from AI-driven commodity demand as a raw materials supplier rather than an AI vendor, so no direct AI revenue figure is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Copper Q1 2026 Earnings and Production Guidance — Simply Wall St, Yahoo Finance,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Southern Copper Tia Maria and Los Chancas Project Coverage — Mining.com, Mexico Business News, International Socialist League,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Southern Copper Leadership, Glassdoor, and Sustainability Report — southerncoppercorp.com, TipRanks, GlobalData,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Southern Copper Financial Statistics and Statements — stockanalysis.com,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Southern Copper Dividend History — MacroTrends, StockInvest.us,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Copper Demand and AI Data Center Electrification Outlook — S&amp;P Global, J.P. Morgan via Discovery Alert, TradingKey,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