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SEE</w:t>
      </w:r>
      <w:r>
        <w:rPr>
          <w:rFonts w:ascii="Calibri" w:hAnsi="Calibri"/>
          <w:b/>
          <w:color w:val="1A2010"/>
          <w:sz w:val="40"/>
        </w:rPr>
        <w:t xml:space="preserve">  Sealed Air Corporation</w:t>
      </w:r>
    </w:p>
    <w:p>
      <w:pPr>
        <w:spacing w:after="120"/>
      </w:pPr>
      <w:r>
        <w:rPr>
          <w:rFonts w:ascii="Calibri" w:hAnsi="Calibri"/>
          <w:b/>
          <w:color w:val="6E8450"/>
          <w:sz w:val="18"/>
        </w:rPr>
        <w:t>GROWTH SLEEVE · 2026-07-10 · Inspire: 66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Packaging &amp; Containers · NYSE · United States</w:t>
      </w:r>
    </w:p>
    <w:p>
      <w:pPr>
        <w:spacing w:after="80"/>
      </w:pPr>
      <w:r>
        <w:rPr>
          <w:rFonts w:ascii="Calibri" w:hAnsi="Calibri"/>
          <w:b w:val="0"/>
          <w:color w:val="3A4A28"/>
          <w:sz w:val="20"/>
        </w:rPr>
        <w:t>Sealed Air Corporation is a global packaging company operating in two segments: Food (Cryovac food packaging systems) and Protective (Bubble Wrap, Autobag, Instapak protective packaging). The company was acquired by funds affiliated with Clayton, Dubilier &amp; Rice (CD&amp;R) in an all-cash transaction valued at $10.3 billion enterprise value ($42.15 per share), with the acquisition completing on April 9, 2026. Shares have ceased trading on the NYSE.</w:t>
      </w:r>
    </w:p>
    <w:p>
      <w:r>
        <w:rPr>
          <w:rFonts w:ascii="Calibri" w:hAnsi="Calibri"/>
          <w:b/>
          <w:color w:val="6E8450"/>
          <w:sz w:val="18"/>
        </w:rPr>
        <w:t>16,300 Employees · https://www.sealedair.com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Sealed Air reorganized into two focused verticals — Food and Protective packaging — under CEO Dustin Semach, streamlining operations with distinct end markets, customer bases, and innovation roadmaps [2]. However, no transformative product launches or business model pivots occurred in the last five years; the company's core products (Cryovac, Bubble Wrap) have been market staples for decades. AI Deployment (0/2): No AI-powered products or AI-driven operational efficiencies reported in earnings releases or public communications. Market Share (1/2): Sealed Air is a meaningful player in food and protective packaging with $5.36 billion in annual revenue, but faces intense competition from Amcor, Berry Global, and Sonoco with no evidence of specific share gains [1]. Product Pipeline (1/2): General R&amp;D activity focused on sustainable packaging solutions, recyclable materials, and reduced-weight packaging, but no specific next-generation products with named launch dates or revenue visibility [5]. R&amp;D Intensity (0/1): No evidence of above-average R&amp;D spending relative to packaging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Sealed Air's 'net positive' sustainability approach focused on protecting food safety, reducing waste, and advancing circular economy principles is clear and identifies a meaningful purpose beyond profit — connecting packaging to food security and environmental sustainability [5]. However, frequent CEO turnover (Patrick Kivits ousted after less than a year, replaced by Dustin Semach in February 2025) undermines the credibility of any purpose-driven narrative [2]. Community Impact (1/2): Sealed Air has made progress toward science-based greenhouse gas reduction targets, DEI commitments, and zero-harm safety efforts, demonstrating general corporate responsibility but no standout distinctive programs with specific dollar amounts [5]. Employee Retention (0/2): CEO instability is a major red flag — Kivits served less than one year before being ousted, representing at least the second CEO change in recent years [2]. No specific data on broader employee turnover or retention, but C-suite instability typically signals organizational stress. Insider Buying (0/2): No evidence of insider buying identified in the period leading up to the CD&amp;R acquisition.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Sealed Air delivered FY2025 net sales of $5.360 billion (down 0.6% YoY) with Q4 EPS of $0.77 beating estimates of $0.72 and full-year EPS of $2.99 [1]. The company's net leverage ratio improved to 3.2x from 3.6x in 2024, though debt-to-equity of 331% remains above the 300% floor due to $4.1 billion in total debt against limited equity [1][3]. Return on equity of 47.39% is exceptionally strong, reflecting high profitability relative to a small equity base driven by leverage. Forward P/E of 12.27 is well below the 20 target, providing attractive valuation metrics. Profit margin of 9.43% is modest for a packaging company, reflecting competitive pricing pressure and input cost volatility. Revenue growth has been essentially flat with 5-year CAGR of approximately 1.6% and FY2025 YoY decline of 0.6% [3]. The CD&amp;R acquisition at $42.15 per share represented a modest premium to trading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Sealed Air is a finite game player now entering its next phase as a CD&amp;R portfolio company. Frequent CEO changes (Kivits ousted after less than a year), the acceptance of a private equity acquisition, and the absence of any articulated cause beyond operational metrics reveal a company optimizing for financial returns rather than enduring purpose. The CD&amp;R acquisition itself signals the triumph of financial engineering over long-term independent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Sealed Air's sustainability focus on protecting food safety, reducing waste, and advancing circular economy principles is a legitimate cause, but frequent CEO turnover and the CD&amp;R acquisition undermine its credibility as a driving force for the organization [2][5]. The cause exists in corporate materials but does not appear to shape strategic decisions — the company accepted a private equity buyout rather than maintaining independence to pursue its sustainability mission. Sinek would note that a company with a genuine Just Cause does not typically sell itself to a financial sponsor.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instability is the primary red flag — Kivits was removed after serving less than one year, and Semach was appointed as the replacement in February 2025 [2]. Multiple CEO changes in a short period create organizational uncertainty and erode trust. The CD&amp;R acquisition introduces additional uncertainty as private equity ownership typically brings restructuring, cost-cutting, and potential leadership changes. No positive data on employee empowerment, psychological safety, or cultural strength offsets these concerns.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in public communications. Sealed Air's competitive positioning focuses on operational efficiency and innovation capabilities rather than acknowledging competitors' strengths or using competitive dynamics for self-improvement [5]. As a now-private company under CD&amp;R ownership, competitive discourse will be even less transparent.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Sealed Air has evolved its business focus over time, divesting non-core assets and reorganizing into two focused verticals (Food and Protective) with distinct strategies [2]. The CD&amp;R acquisition could theoretically enable longer-term thinking free from quarterly earnings pressure. However, the company has not executed a transformative pivot — its core products (Cryovac, Bubble Wrap) are fundamentally unchanged for decades, and the reorganization was incremental rather than existential.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CEO Patrick Kivits was ousted after less than one year, suggesting the board prioritized short-term results over leadership stability [2]. The company accepted CD&amp;R's acquisition at a modest premium rather than pursuing an independent path, and the deleveraging from 3.6x to 3.2x net leverage was driven by financial prudence, not courageous investment in long-term capabilities. No examples of leadership sacrificing near-term results for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Sealed Air's acquisition by CD&amp;R at $42.15 per share closed on April 9, 2026, effectively making this a completed transaction [2]. For investors who held through the acquisition, the takeout price represented a modest premium. The company's core Food packaging franchise (Cryovac) provides essential food safety and shelf-life extension technology with stable demand dynamics, and the Protective segment benefits from secular e-commerce growth [1]. Return on equity of 47.39% and forward P/E of 12.27 reflected reasonable valuation at the time of acquisition. Under CD&amp;R ownership, operational improvements and debt reduction could position the company for a future public offering or strategic sale at higher value.</w:t>
      </w:r>
    </w:p>
    <w:p>
      <w:pPr>
        <w:spacing w:after="120"/>
      </w:pPr>
      <w:r>
        <w:rPr>
          <w:rFonts w:ascii="Calibri" w:hAnsi="Calibri"/>
          <w:b w:val="0"/>
          <w:color w:val="3A4A28"/>
          <w:sz w:val="20"/>
        </w:rPr>
        <w:t>The CD&amp;R acquisition renders the stock uninvestable for public market participants — shares have ceased trading on the NYSE as of April 2026 [2]. For analytical purposes, Sealed Air's weaknesses were evident pre-acquisition: revenue was essentially flat (5-year CAGR of 1.6%), debt-to-equity of 331% exceeded the 300% danger threshold, and profit margin of 9.43% was compressed by competitive pricing and input cost pressure [1][3]. CEO instability (Kivits ousted after less than a year) and the board's decision to accept a PE buyout rather than pursue an independent turnaround suggest the company lacked the leadership stability and strategic vision to reignite growth on its own. Private equity ownership typically prioritizes cost reduction and leverage optimization over innovation investment, which could further compress the company's already modest margin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CD&amp;R operational improvements and cost restructuring could materially expand profit margins beyond the current 9.43%, with potential for a future public re-listing or strategic sale at significantly higher valuation</w:t>
      </w:r>
    </w:p>
    <w:p>
      <w:pPr>
        <w:spacing w:before="40" w:after="40"/>
        <w:ind w:left="283"/>
      </w:pPr>
      <w:r>
        <w:rPr>
          <w:rFonts w:ascii="Calibri" w:hAnsi="Calibri"/>
          <w:b/>
          <w:color w:val="4A6B25"/>
          <w:sz w:val="20"/>
        </w:rPr>
        <w:t xml:space="preserve">2. </w:t>
      </w:r>
      <w:r>
        <w:rPr>
          <w:rFonts w:ascii="Calibri" w:hAnsi="Calibri"/>
          <w:b w:val="0"/>
          <w:color w:val="3A4A28"/>
          <w:sz w:val="20"/>
        </w:rPr>
        <w:t>Food packaging segment benefiting from growing global food safety requirements and cold chain expansion in emerging markets, providing stable secular demand</w:t>
      </w:r>
    </w:p>
    <w:p>
      <w:pPr>
        <w:spacing w:before="40" w:after="40"/>
        <w:ind w:left="283"/>
      </w:pPr>
      <w:r>
        <w:rPr>
          <w:rFonts w:ascii="Calibri" w:hAnsi="Calibri"/>
          <w:b/>
          <w:color w:val="4A6B25"/>
          <w:sz w:val="20"/>
        </w:rPr>
        <w:t xml:space="preserve">3. </w:t>
      </w:r>
      <w:r>
        <w:rPr>
          <w:rFonts w:ascii="Calibri" w:hAnsi="Calibri"/>
          <w:b w:val="0"/>
          <w:color w:val="3A4A28"/>
          <w:sz w:val="20"/>
        </w:rPr>
        <w:t>Sustainability-focused packaging innovation addressing regulatory requirements for recyclable and reduced-plastic packaging could open new revenue streams and premium pricing opportunities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Shares have ceased trading on NYSE following the CD&amp;R acquisition completion on April 9, 2026 — the stock is uninvestable for public market participants</w:t>
      </w:r>
    </w:p>
    <w:p>
      <w:pPr>
        <w:spacing w:before="40" w:after="40"/>
        <w:ind w:left="283"/>
      </w:pPr>
      <w:r>
        <w:rPr>
          <w:rFonts w:ascii="Calibri" w:hAnsi="Calibri"/>
          <w:b/>
          <w:color w:val="4A6B25"/>
          <w:sz w:val="20"/>
        </w:rPr>
        <w:t xml:space="preserve">2. </w:t>
      </w:r>
      <w:r>
        <w:rPr>
          <w:rFonts w:ascii="Calibri" w:hAnsi="Calibri"/>
          <w:b w:val="0"/>
          <w:color w:val="3A4A28"/>
          <w:sz w:val="20"/>
        </w:rPr>
        <w:t>Debt-to-equity of 331% already exceeded safe levels pre-acquisition, and CD&amp;R's acquisition financing likely pushed leverage above 5.0x, creating elevated financial risk under private ownership</w:t>
      </w:r>
    </w:p>
    <w:p>
      <w:pPr>
        <w:spacing w:before="40" w:after="40"/>
        <w:ind w:left="283"/>
      </w:pPr>
      <w:r>
        <w:rPr>
          <w:rFonts w:ascii="Calibri" w:hAnsi="Calibri"/>
          <w:b/>
          <w:color w:val="4A6B25"/>
          <w:sz w:val="20"/>
        </w:rPr>
        <w:t xml:space="preserve">3. </w:t>
      </w:r>
      <w:r>
        <w:rPr>
          <w:rFonts w:ascii="Calibri" w:hAnsi="Calibri"/>
          <w:b w:val="0"/>
          <w:color w:val="3A4A28"/>
          <w:sz w:val="20"/>
        </w:rPr>
        <w:t>CEO instability (Kivits lasted less than a year) and now private equity ownership introduce restructuring risk, potential layoffs, and reduced innovation investment as CD&amp;R optimizes for financial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Physical packaging manufacturing, food safety technology, and protective packaging operations are structurally immune to AI disruption. Cryovac food packaging systems require specialized films, vacuum sealing equipment, and thermal processing that AI cannot substitute [1]. Bubble Wrap and Instapak protective packaging involve physical material science and manufacturing processes. Packaging is essential infrastructure for food supply chains and e-commerce fulfillment — AI data centers and warehouses actually increase demand for protective packaging. Analysts have not flagged AI as a substitution risk for packaging companies. AI Opportunity (0/1): Sealed Air does not generate AI-related revenue. While AI could enhance manufacturing process optimization and supply chain management, no specific AI-driven revenue streams or quantified efficiency gains have been reported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Sealed Air Q4 and Full Year 2025 Earnings Release — SEC Filing, March 2, 2026</w:t>
      </w:r>
    </w:p>
    <w:p>
      <w:pPr>
        <w:spacing w:before="20" w:after="20"/>
        <w:ind w:left="170"/>
      </w:pPr>
      <w:r>
        <w:rPr>
          <w:rFonts w:ascii="Calibri" w:hAnsi="Calibri"/>
          <w:b/>
          <w:color w:val="4A6B25"/>
          <w:sz w:val="15"/>
        </w:rPr>
        <w:t xml:space="preserve">2. </w:t>
      </w:r>
      <w:r>
        <w:rPr>
          <w:rFonts w:ascii="Calibri" w:hAnsi="Calibri"/>
          <w:b w:val="0"/>
          <w:color w:val="3A4A28"/>
          <w:sz w:val="17"/>
        </w:rPr>
        <w:t>CD&amp;R Acquisition Completion and CEO Leadership Changes — Packaging Dive and Corporate Announcements, February 2025 and April 2026</w:t>
      </w:r>
    </w:p>
    <w:p>
      <w:pPr>
        <w:spacing w:before="20" w:after="20"/>
        <w:ind w:left="170"/>
      </w:pPr>
      <w:r>
        <w:rPr>
          <w:rFonts w:ascii="Calibri" w:hAnsi="Calibri"/>
          <w:b/>
          <w:color w:val="4A6B25"/>
          <w:sz w:val="15"/>
        </w:rPr>
        <w:t xml:space="preserve">3. </w:t>
      </w:r>
      <w:r>
        <w:rPr>
          <w:rFonts w:ascii="Calibri" w:hAnsi="Calibri"/>
          <w:b w:val="0"/>
          <w:color w:val="3A4A28"/>
          <w:sz w:val="17"/>
        </w:rPr>
        <w:t>Sealed Air FY2025 10-K Annual Report and Financial Data — SEC Filing and StockAnalysis,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SEE Key Statistics, Valuation, and Dividend History,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Sealed Air ESG Report and Sustainability Initiatives — sealedair.com,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