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SEI</w:t>
      </w:r>
      <w:r>
        <w:rPr>
          <w:rFonts w:ascii="Calibri" w:hAnsi="Calibri"/>
          <w:b/>
          <w:color w:val="1A2010"/>
          <w:sz w:val="40"/>
        </w:rPr>
        <w:t xml:space="preserve">  Solaris Energy Infrastructure, Inc.</w:t>
      </w:r>
    </w:p>
    <w:p>
      <w:pPr>
        <w:spacing w:after="120"/>
      </w:pPr>
      <w:r>
        <w:rPr>
          <w:rFonts w:ascii="Calibri" w:hAnsi="Calibri"/>
          <w:b/>
          <w:color w:val="6E8450"/>
          <w:sz w:val="18"/>
        </w:rPr>
        <w:t>GROWTH SLEEVE · 2026-07-11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Solaris Energy Infrastructure, Inc. is an energy infrastructure company providing distributed power solutions for AI data centers, industrial loads, and oil and gas operations. Formerly Solaris Oilfield Infrastructure, the company renamed in September 2024 after acquiring Mobile Energy Rentals (MER), pivoting from frac sand logistics into natural gas-powered turbine leasing for data centers. Founded by Bill Zartler in 2014, Solaris now operates approximately 3,100 MW of total power generation capacity with over 2 GW under long-term contracts (10-15 year terms) with three leading global technology companies for AI data center power.</w:t>
      </w:r>
    </w:p>
    <w:p>
      <w:r>
        <w:rPr>
          <w:rFonts w:ascii="Calibri" w:hAnsi="Calibri"/>
          <w:b/>
          <w:color w:val="6E8450"/>
          <w:sz w:val="18"/>
        </w:rPr>
        <w:t>468 Employees · https://www.solaris-energy.com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Solaris executed one of the most dramatic business transformations in the energy sector, pivoting from oilfield frac sand logistics to AI data center power infrastructure. Q1 2026 revenue of $196.2M grew 55% YoY, with leasing revenue more than doubling to $105.4M driven by Solaris Power Solutions [1]. The company secured over 2 GW of power generation under long-term contracts with three investment-grade technology companies, including a 10-year, 600+ MW contract announced in April 2026 [1][2]. The MER acquisition in September 2024 and subsequent Genco Power Solutions acquisition expanded capacity by over 40% to 3,100 MW [1]. This is a genuine business model transformation, not incremental growth. AI Deployment (1/2): Solaris does not deploy AI in its operations but is a critical physical enabler of AI infrastructure. The company's natural gas turbines provide the power that AI data centers need to operate. Some operational analytics for equipment optimization and fleet management are likely used but AI is not a product differentiator [2]. Market Share (1/2): Solaris is an emerging leader in distributed power for data centers, a market that is rapidly expanding with many new entrants. The 3,100 MW total capacity and 2+ GW of contracted capacity with hyperscalers provide meaningful market position, but the market is early-stage and competitors are scaling [2][3]. Product Pipeline (2/2): Exceptional forward visibility. The Genco acquisition and NovaLT16 turbine acquisition add approximately 900 MW of new capacity through 2029 [1]. Long-term contracts of 10-15 years with phased ramps from 2026-2028 provide multi-year revenue visibility unprecedented for an energy services company. The company targets 3.1 GW net owned by 2029 with projected $1.7B revenue [2][3]. R&amp;D Intensity (1/1): Significant capital investment in new turbine technology (NovaLT16 diversifies equipment supplier base) and capacity expansion. The $300M new credit facility demonstrates aggressive growth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Bill Zartler founded Solaris in 2014 with a focus on bringing efficiency and reliability to energy services. The pivot to 'powering the digital economy' through data center infrastructure is compelling but still forming as a Just Cause — the company rebranded only in September 2024 [3]. Zartler brings 30+ years of energy industry experience and successfully grew the company from startup to IPO to its current transformation [3]. The emerging mission around enabling the AI revolution through reliable power infrastructure has genuine purpose, but the company's roots in oilfield services and its continued frac sand operations suggest the pivot is more opportunistic than mission-driven. Community Impact (1/2): The Inspire Impact score of 20 (MIXED) with positive attributions for Business Ethics, Business Resilience, and GHG Emissions reflects some ESG commitment [4]. Natural gas-powered turbines are cleaner than diesel alternatives used in temporary power generation. However, fossil fuel-based power generation inherently limits environmental inspiration. Employee Retention (1/2): The 468-person team has executed a remarkable business transformation under Zartler's leadership, suggesting strong internal alignment and trust. The co-CEO structure (Zartler and Johnson) provides leadership continuity. However, limited public information on employee culture, retention metrics, or organizational dynamics. Insider Buying (1/2): Zartler as founder and Chairman likely maintains significant ownership. The family-led company culture and founder involvement suggest genuine long-term alignment, though no specific insider buying data was identified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strong results: revenue of $196.2M (up 55% YoY), net income of $32M ($0.32/diluted share), and adjusted EBITDA of approximately $84M (up 22% sequentially) [1]. Revenue growth of 55.3% is exceptional and EPS growth of 303% demonstrates massive earnings leverage as the power solutions segment scales. PEG of 0.94 is excellent — below 1.0 indicates the growth rate exceeds the earnings multiple, a rare combination [1]. However, significant weaknesses offset: D/E of 146.5% is high, reflecting the debt-funded acquisitions (Genco, MER) and $300M new credit facility needed to finance rapid capacity expansion [1]. Profit margin of 6.69% is thin for an infrastructure company, though margins should expand as high-margin leasing revenue (now $105.4M, more than doubled) grows as a percentage of total revenue [1]. ROE of 8.74% is moderate. Forward P/E of 28.62 is elevated but reasonable given the growth trajectory. The trailing P/E of 81.28 is very high but reflects the early phase of earnings ramp from contracted capacity that has not yet fully converted to revenue. The 0.67% dividend yield provides minimal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Solaris under Bill Zartler demonstrates exceptional existential flexibility — the pivot from oilfield services to AI data center power infrastructure is a textbook Sinek transformation. However, the company's Just Cause remains underdeveloped (the transformation is more opportunistic than mission-driven), and limited visibility into organizational culture and team dynamics prevents a full infinite game assessment. The company plays a mixed game — making bold long-term infrastructure bets (10-15 year contracts) while still operating in the inherently cyclical energy services sector.</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Solaris's emerging cause of 'powering the digital economy' through reliable energy infrastructure has genuine purpose, but the company has articulated this primarily in financial and strategic terms rather than as a transcendent mission [2][3]. The September 2024 rebrand from Solaris Oilfield Infrastructure to Solaris Energy Infrastructure signals the pivot, but the company maintains its original frac sand logistics business alongside the new power solutions segment. Zartler's 30+ years in energy industry investing suggest a financially-driven leadership style. The pivot to AI data center power, while brilliant strategically, appears more opportunistic than purpose-driven — the company followed the demand signal rather than a pre-existing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468-person team successfully executed a dramatic business transformation — pivoting from oilfield services to data center power, completing multiple acquisitions (MER, Genco), and integrating new capabilities — which implies strong internal alignment and trust [1][3]. The co-CEO structure (Zartler as Chairman/Co-CEO, Johnson as Co-CEO) suggests collaborative leadership. However, limited public information on employee culture, organizational dynamics, or retention metrics prevents a thorough assessment. The rapid growth and acquisition pace could stress organizational cohesion.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Solaris competes in distributed power with established players and new entrants attracted by AI data center demand. The company's differentiation through scale (3,100 MW capacity), long-term contracted revenue (2+ GW under 10-15 year terms), and equipment diversity (NovaLT16 acquisition) shows awareness of competitive positioning [1][2]. However, limited evidence of how Zartler views or responds to specific competitors' strengths in the rapidly evolving distributed power market.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transformation from Solaris Oilfield Infrastructure to Solaris Energy Infrastructure is a textbook example of existential flexibility — the company identified the AI power demand wave, leveraged its existing equipment logistics capabilities, acquired distributed power generation expertise (MER), and repositioned its entire business model toward a multi-decade growth opportunity [1][2][3]. The name change, the strategic acquisitions, and the 10-15 year contract structure all demonstrate a company willing to fundamentally reshape itself. This is the strongest dimension for Solaris — using existing operational capabilities (deploying and managing heavy equipment in remote locations) for an entirely new purpose (powering AI data centers instead of frac operations).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Zartler made a genuinely courageous bet in pivoting the company toward data center power infrastructure. The MER acquisition in September 2024 and subsequent Genco acquisition committed significant capital to a new business line before the market fully validated the opportunity [1][3]. Signing 10-15 year contracts with technology companies represents deep conviction in the AI power demand thesis. The $300M new credit facility to fund capacity expansion demonstrates willingness to leverage the balance sheet for long-term positioning [1]. These are meaningful bets for a company of Solaris's size, not incremental moves.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Solaris Energy Infrastructure is one of the purest plays on the AI power infrastructure bottleneck, with over 2 GW of natural gas power generation contracted under 10-15 year terms with three investment-grade technology companies [1][2]. Q1 2026 revenue of $196.2M grew 55% YoY with leasing revenue more than doubling, and adjusted EBITDA of $84M grew 22% sequentially as the power solutions segment scales [1]. The PEG of 0.94 — below 1.0 — is exceptional for a company growing revenue at 55% and EPS at 303%, indicating the stock is attractively valued on a growth-adjusted basis. The company's transformation from oilfield services to AI data center power infrastructure addresses one of the most critical bottlenecks in the AI buildout — grid capacity constraints that force hyperscalers to procure distributed on-site power generation [2][3]. The long-term contract structure (10-15 years) provides unprecedented revenue visibility for an energy services company, and the phased capacity ramp from 2026-2028 creates a multi-year earnings growth trajectory toward the projected $1.7B revenue by 2029 [3].</w:t>
      </w:r>
    </w:p>
    <w:p>
      <w:pPr>
        <w:spacing w:after="120"/>
      </w:pPr>
      <w:r>
        <w:rPr>
          <w:rFonts w:ascii="Calibri" w:hAnsi="Calibri"/>
          <w:b w:val="0"/>
          <w:color w:val="3A4A28"/>
          <w:sz w:val="20"/>
        </w:rPr>
        <w:t>The primary risk is execution. Solaris must deliver on a massive capacity expansion — from current capacity to 3.1 GW net owned — while maintaining operational reliability across a fleet of natural gas turbines serving mission-critical data center loads [1][3]. D/E of 146.5% reflects aggressive debt-funded growth through acquisitions and the $300M credit facility, creating financial leverage risk if the AI data center buildout slows or contract counterparties face difficulties [1]. Profit margin of 6.69% is thin, and while margins should expand as high-margin leasing revenue grows, the path from 6.69% to infrastructure-grade margins is not guaranteed. The trailing P/E of 81.28 prices in significant future earnings growth that must materialize from contracted capacity converting to revenue. Technology risk exists — nuclear small modular reactors (SMRs) and utility grid buildouts could reduce demand for distributed gas power over the 10-15 year contract horizon, though near-term demand far exceeds alternatives. The company still operates its legacy frac sand logistics business, and a downturn in oilfield activity would pressure that segment even as power solutions grows.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Contracted capacity of 2+ GW with three investment-grade technology companies phasing in from 2026-2028, creating a multi-year earnings growth ramp with 10-15 year revenue visibility unprecedented in energy services</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high-margin leasing revenue (more than doubled to $105.4M in Q1) grows as a percentage of total revenue, with adjusted EBITDA already expanding 22% sequentially to $84M</w:t>
      </w:r>
    </w:p>
    <w:p>
      <w:pPr>
        <w:spacing w:before="40" w:after="40"/>
        <w:ind w:left="283"/>
      </w:pPr>
      <w:r>
        <w:rPr>
          <w:rFonts w:ascii="Calibri" w:hAnsi="Calibri"/>
          <w:b/>
          <w:color w:val="4A6B25"/>
          <w:sz w:val="20"/>
        </w:rPr>
        <w:t xml:space="preserve">3. </w:t>
      </w:r>
      <w:r>
        <w:rPr>
          <w:rFonts w:ascii="Calibri" w:hAnsi="Calibri"/>
          <w:b w:val="0"/>
          <w:color w:val="3A4A28"/>
          <w:sz w:val="20"/>
        </w:rPr>
        <w:t>AI data center power demand significantly exceeding grid capacity, creating structural demand for distributed on-site power generation that Solaris is uniquely positioned to serve at 3,100 MW total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146.5% and $300M new credit facility reflect aggressive leverage to fund capacity expansion — any slowdown in AI data center buildout or contract delays would pressure the highly leveraged balance sheet</w:t>
      </w:r>
    </w:p>
    <w:p>
      <w:pPr>
        <w:spacing w:before="40" w:after="40"/>
        <w:ind w:left="283"/>
      </w:pPr>
      <w:r>
        <w:rPr>
          <w:rFonts w:ascii="Calibri" w:hAnsi="Calibri"/>
          <w:b/>
          <w:color w:val="4A6B25"/>
          <w:sz w:val="20"/>
        </w:rPr>
        <w:t xml:space="preserve">2. </w:t>
      </w:r>
      <w:r>
        <w:rPr>
          <w:rFonts w:ascii="Calibri" w:hAnsi="Calibri"/>
          <w:b w:val="0"/>
          <w:color w:val="3A4A28"/>
          <w:sz w:val="20"/>
        </w:rPr>
        <w:t>Execution risk in scaling from current operations to 3.1 GW net owned capacity by 2029 while maintaining operational reliability for mission-critical data center power loads — equipment failures or delivery delays could damage hyperscaler relationships</w:t>
      </w:r>
    </w:p>
    <w:p>
      <w:pPr>
        <w:spacing w:before="40" w:after="40"/>
        <w:ind w:left="283"/>
      </w:pPr>
      <w:r>
        <w:rPr>
          <w:rFonts w:ascii="Calibri" w:hAnsi="Calibri"/>
          <w:b/>
          <w:color w:val="4A6B25"/>
          <w:sz w:val="20"/>
        </w:rPr>
        <w:t xml:space="preserve">3. </w:t>
      </w:r>
      <w:r>
        <w:rPr>
          <w:rFonts w:ascii="Calibri" w:hAnsi="Calibri"/>
          <w:b w:val="0"/>
          <w:color w:val="3A4A28"/>
          <w:sz w:val="20"/>
        </w:rPr>
        <w:t>Technology disruption risk from nuclear SMRs, utility grid modernization, or on-site renewable/battery solutions that could reduce demand for natural gas distributed power over the 10-15 year contract horizon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Solaris Energy Infrastructure is perhaps the most directly AI-benefiting business model in the energy sector. The company provides the physical power generation equipment that AI data centers require to operate — every GPU running AI workloads needs electricity, and Solaris supplies it through natural gas turbines leased on 10-15 year terms to investment-grade technology companies [1][2]. AI cannot substitute for physical power generation; it can only increase demand for it. The more AI scales, the more power is consumed. Solaris has over 2 GW contracted with three leading technology companies, with contracts phasing in from 2026-2028, providing extraordinary revenue visibility directly tied to AI infrastructure buildout [1][2]. The distributed power model addresses a critical bottleneck — grid capacity constraints mean hyperscalers cannot rely solely on utility power for new data center deployments, creating structural demand for on-site power generation [2][3]. The only risk is potential technology shifts (nuclear SMRs, next-generation grid infrastructure) that could reduce demand for gas turbine distributed power over the 10-15 year contract horizon, but near-term AI power demand far exceeds available alternatives. AI Opportunity (1/1): AI is Solaris's primary growth catalyst. The pivot from oilfield services to data center power was entirely driven by the AI power demand explosion. Revenue from technology company contracts is growing rapidly, with leasing revenue more than doubling to $105.4M in Q1 2026 [1]. The company's $1.7B revenue projection by 2029 is fundamentally an AI data center power demand thesis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Solaris Energy Infrastructure Q1 2026 Results and Updated Earnings Guidance — BusinessWire, ir.solaris-energy.com, April 27, 2026</w:t>
      </w:r>
    </w:p>
    <w:p>
      <w:pPr>
        <w:spacing w:before="20" w:after="20"/>
        <w:ind w:left="170"/>
      </w:pPr>
      <w:r>
        <w:rPr>
          <w:rFonts w:ascii="Calibri" w:hAnsi="Calibri"/>
          <w:b/>
          <w:color w:val="4A6B25"/>
          <w:sz w:val="15"/>
        </w:rPr>
        <w:t xml:space="preserve">2. </w:t>
      </w:r>
      <w:r>
        <w:rPr>
          <w:rFonts w:ascii="Calibri" w:hAnsi="Calibri"/>
          <w:b w:val="0"/>
          <w:color w:val="3A4A28"/>
          <w:sz w:val="17"/>
        </w:rPr>
        <w:t>Solaris Energy Infrastructure Investor Presentation — ir.solaris-energy.com, March-June 2026</w:t>
      </w:r>
    </w:p>
    <w:p>
      <w:pPr>
        <w:spacing w:before="20" w:after="20"/>
        <w:ind w:left="170"/>
      </w:pPr>
      <w:r>
        <w:rPr>
          <w:rFonts w:ascii="Calibri" w:hAnsi="Calibri"/>
          <w:b/>
          <w:color w:val="4A6B25"/>
          <w:sz w:val="15"/>
        </w:rPr>
        <w:t xml:space="preserve">3. </w:t>
      </w:r>
      <w:r>
        <w:rPr>
          <w:rFonts w:ascii="Calibri" w:hAnsi="Calibri"/>
          <w:b w:val="0"/>
          <w:color w:val="3A4A28"/>
          <w:sz w:val="17"/>
        </w:rPr>
        <w:t>Solaris Energy Infrastructure Strategic Transformation and AI Data Center Power Coverage — Yahoo Finance, Simply Wall St, ainvest.com, 2025-2026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SEI Faith-Based ESG Score and Attributions,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