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SGHC</w:t>
      </w:r>
      <w:r>
        <w:rPr>
          <w:rFonts w:ascii="Calibri" w:hAnsi="Calibri"/>
          <w:b/>
          <w:color w:val="1A2010"/>
          <w:sz w:val="40"/>
        </w:rPr>
        <w:t xml:space="preserve">  Super Group (SGHC) Limited</w:t>
      </w:r>
    </w:p>
    <w:p>
      <w:pPr>
        <w:spacing w:after="120"/>
      </w:pPr>
      <w:r>
        <w:rPr>
          <w:rFonts w:ascii="Calibri" w:hAnsi="Calibri"/>
          <w:b/>
          <w:color w:val="6E8450"/>
          <w:sz w:val="18"/>
        </w:rPr>
        <w:t>GROWTH SLEEVE · 2026-07-13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Services · Online Gaming &amp; Sports Betting · NYSE · Guernsey</w:t>
      </w:r>
    </w:p>
    <w:p>
      <w:pPr>
        <w:spacing w:after="80"/>
      </w:pPr>
      <w:r>
        <w:rPr>
          <w:rFonts w:ascii="Calibri" w:hAnsi="Calibri"/>
          <w:b w:val="0"/>
          <w:color w:val="3A4A28"/>
          <w:sz w:val="20"/>
        </w:rPr>
        <w:t>Super Group (SGHC) Limited is a global online sports betting and gaming operator headquartered in Guernsey, operating through two flagship brands: Betway (online sports betting and casino) and Spin (multi-brand online casino including Jackpot City). In Q1 2026, the company reorganized reporting segments from brand-based (Betway/Spin) to geography-based (Africa/International), reflecting Africa's growing strategic importance at 44% of reportable segment revenue.</w:t>
      </w:r>
    </w:p>
    <w:p>
      <w:r>
        <w:rPr>
          <w:rFonts w:ascii="Calibri" w:hAnsi="Calibri"/>
          <w:b/>
          <w:color w:val="6E8450"/>
          <w:sz w:val="18"/>
        </w:rPr>
        <w:t>3,500 Employees · https://www.supergroup.com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Super Group executed a strategic geographic pivot, with Africa growing from a secondary market to 44% of reportable segment revenue ($267M in Q1 2026, up 33% YoY from $201M) [1]. The Betway Nigeria expansion demonstrates successful new market entry, and the segment reorganization from Betway/Spin to Africa/International reflects a genuine strategic evolution in how the company views its business [1][5]. AI Deployment (1/2): The company has deployed AI-driven hyper-personalized bet pricing, translating real-time liability analysis, market data, and customer behavior insights into dynamic odds [3]. AI investments in payments and market-specific product innovation are cited as enabling factors, though specific revenue gains from AI have not been quantified. Market Share (1/2): Super Group is a meaningful global online gaming operator but not a category leader; it competes against larger players like Flutter (FanDuel), DraftKings, and Entain in most markets [1]. The Africa position is stronger, particularly through Betway's Nigerian expansion [5]. Product Pipeline (1/2): Dual-brand strategy (Betway + Spin/Jackpot City) provides market-specific flexibility, and the company is guiding for full-year 2026 revenue exceeding $2.55B [1]. R&amp;D Intensity (1/1): As a tech-driven gaming operator, Super Group invests meaningfully in platform development, AI, and payment infrastructure relative to gaming industry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Super Group's strategic framework centers on 'delivering first-class, responsible online entertainment globally,' which is clear in identifying what the company does and for whom but does not articulate a deeper purpose or inspire beyond the obvious [3]. The mission is functional rather than aspirational, focusing on entertainment delivery rather than a vision of a better future. Community Impact (0/2): No evidence of distinctive charitable programs, community investment, or foundation activity was identified. As an online gambling operator, the company faces inherent tension between revenue growth and responsible gambling outcomes. Employee Retention (0/2): No specific retention data, employee tenure metrics, or voluntary turnover rates were found in public materials. The company's leadership team has been relatively stable, but no employee-level data supports a score. Insider Buying (0/2): Significant insider selling was reported, particularly from COO Kirsty Farrah Ross, raising questions about management's conviction [4]. Net insider selling, not buying, was the recent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$612M revenue (up 18% YoY) with adjusted EBITDA of $152M (25% margin), representing a 36% increase over Q1 2025 [1]. The balance sheet is exceptionally clean with D/E of just 12%, essentially a debt-free operation [2]. ROE of 21.4% exceeds the 15% target, driven by strong earnings growth — 2025 net income of $217M represented 76% YoY growth [5]. Forward P/E of 17.55 is well below the 20 target, suggesting attractive valuation relative to growth. The key weakness is net profit margin of 7.0%, well below the 20% target, reflecting the high customer acquisition costs and regulatory compliance expenses inherent in global online gaming operations [2]. Full-year 2026 guidance of revenue &gt;$2.55B and adjusted EBITDA &gt;$680M implies continued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Super Group operates with a predominantly finite mindset. The company's strategic language centers on market expansion, revenue targets, and adjusted EBITDA margins rather than any articulated vision of a better future. The gambling industry inherently struggles with just cause framing, as the core value proposition is entertainment through wagering. While the company executes well operationally, Sinek would note the absence of a purpose that transcends quarterly results.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Super Group exists to grow its online gambling business and generate returns for shareholders. The company's purpose — 'delivering first-class, responsible online entertainment' — is a business description, not a vision of a future state that inspires sacrifice [3]. The gambling industry fundamentally struggles with Just Cause framing: the core product enables entertainment but also carries addiction and financial harm risks. Sinek would classify this as a company playing to win market share in Africa and globally, not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under CEO Neal Menashe has been relatively stable, with experienced executives including CFO Alinda Van Wyk and President Richard Hasson providing continuity [3]. The company's culture emphasizes data-driven analytics and customer engagement. However, no specific evidence of exceptional employee trust, empowerment, or psychological safety was found. The insider selling by COO Kirsty Farrah Ross raises questions about alignment at the senior leadership level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was found in management commentary. The company's competitive language focuses on geographic expansion (Africa, Nigeria) and market share growth rather than learning from competitors' strengths [1][5]. The strategic narrative is about winning new markets, not improving through competitive reflection.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Super Group's geographic pivot from a primarily European/Western-focused operator to one where Africa represents 44% of reportable segment revenue is a meaningful strategic evolution [1]. The segment reorganization from brand-based (Betway/Spin) to geography-based (Africa/International) reflects genuine adaptation to where growth is occurring. However, the core business model remains unchanged — online sports betting and casino gaming — making this an incremental evolution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significant resources to African market expansion, particularly Nigeria, demonstrates willingness to invest in high-growth but politically and economically volatile markets [5]. The dividend initiation alongside growth investment shows some balance between short-term shareholder returns and long-term capability building [3]. However, these decisions are strategically conventional for a gambling operator seeking growth — they represent smart business, not principled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 Group delivered strong Q1 2026 results with $612M revenue (up 18% YoY) and adjusted EBITDA of $152M (25% margin, up 36% YoY), reaffirming full-year guidance of revenue &gt;$2.55B and adjusted EBITDA &gt;$680M [1]. The Africa segment is the growth engine, generating $267M in Q1 revenue (up 33% YoY) and now representing 44% of reportable segment revenue, with the Betway Nigeria expansion creating a large addressable market [5]. The balance sheet is exceptionally clean with D/E of just 12%, and the forward P/E of 17.55 is attractive relative to 21.7% revenue growth and rapidly expanding earnings [2]. AI-driven personalization in bet pricing and dynamic odds is enhancing customer engagement and margin optimization [3]. At $15.51 per share with $5.68B market cap, the stock trades at a reasonable multiple for a high-growth, debt-free online gaming operator.</w:t>
      </w:r>
    </w:p>
    <w:p>
      <w:pPr>
        <w:spacing w:after="120"/>
      </w:pPr>
      <w:r>
        <w:rPr>
          <w:rFonts w:ascii="Calibri" w:hAnsi="Calibri"/>
          <w:b w:val="0"/>
          <w:color w:val="3A4A28"/>
          <w:sz w:val="20"/>
        </w:rPr>
        <w:t>The primary risks center on regulatory and geographic concentration. Africa contributes 44% of segment revenue but exposes the company to political instability, currency volatility, and regulatory uncertainty across multiple jurisdictions [1][5]. The gambling industry faces ongoing regulatory tightening globally, with potential for increased taxation, advertising restrictions, or outright market closures. Profit margin of just 7% reflects the high cost of customer acquisition and regulatory compliance in online gaming — this is a volume business, not a margin business. The insider selling pattern, particularly from COO Ross, raises governance concerns about management alignment [4]. The trailing P/E of 42x (vs. 17.5x forward) reflects significant expectations for earnings acceleration, creating downside if growth moderates. Faith-based investors should note the core business is online gambling, which carries inherent social responsibility concerns around addiction.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Africa segment revenue acceleration driven by Betway Nigeria expansion and mobile penetration growth across Sub-Saharan Africa, with the segment growing 33% YoY in Q1 2026</w:t>
      </w:r>
    </w:p>
    <w:p>
      <w:pPr>
        <w:spacing w:before="40" w:after="40"/>
        <w:ind w:left="283"/>
      </w:pPr>
      <w:r>
        <w:rPr>
          <w:rFonts w:ascii="Calibri" w:hAnsi="Calibri"/>
          <w:b/>
          <w:color w:val="4A6B25"/>
          <w:sz w:val="20"/>
        </w:rPr>
        <w:t xml:space="preserve">2. </w:t>
      </w:r>
      <w:r>
        <w:rPr>
          <w:rFonts w:ascii="Calibri" w:hAnsi="Calibri"/>
          <w:b w:val="0"/>
          <w:color w:val="3A4A28"/>
          <w:sz w:val="20"/>
        </w:rPr>
        <w:t>Earnings acceleration toward the forward P/E of 17.55x, driven by operating leverage on 18%+ revenue growth and adjusted EBITDA margin expansion toward 27%+</w:t>
      </w:r>
    </w:p>
    <w:p>
      <w:pPr>
        <w:spacing w:before="40" w:after="40"/>
        <w:ind w:left="283"/>
      </w:pPr>
      <w:r>
        <w:rPr>
          <w:rFonts w:ascii="Calibri" w:hAnsi="Calibri"/>
          <w:b/>
          <w:color w:val="4A6B25"/>
          <w:sz w:val="20"/>
        </w:rPr>
        <w:t xml:space="preserve">3. </w:t>
      </w:r>
      <w:r>
        <w:rPr>
          <w:rFonts w:ascii="Calibri" w:hAnsi="Calibri"/>
          <w:b w:val="0"/>
          <w:color w:val="3A4A28"/>
          <w:sz w:val="20"/>
        </w:rPr>
        <w:t>AI-driven hyper-personalized bet pricing and dynamic odds engines increasing customer lifetime value and reducing customer acquisition costs across both Africa and International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concentration risk: 44% of segment revenue from African markets exposes the company to political instability, currency devaluation (e.g., Nigerian naira), and regulatory uncertainty that could disrupt operations</w:t>
      </w:r>
    </w:p>
    <w:p>
      <w:pPr>
        <w:spacing w:before="40" w:after="40"/>
        <w:ind w:left="283"/>
      </w:pPr>
      <w:r>
        <w:rPr>
          <w:rFonts w:ascii="Calibri" w:hAnsi="Calibri"/>
          <w:b/>
          <w:color w:val="4A6B25"/>
          <w:sz w:val="20"/>
        </w:rPr>
        <w:t xml:space="preserve">2. </w:t>
      </w:r>
      <w:r>
        <w:rPr>
          <w:rFonts w:ascii="Calibri" w:hAnsi="Calibri"/>
          <w:b w:val="0"/>
          <w:color w:val="3A4A28"/>
          <w:sz w:val="20"/>
        </w:rPr>
        <w:t>Regulatory tightening in key markets through increased taxation, advertising restrictions, or licensing changes could compress margins in a business already operating at 7% net profit margin</w:t>
      </w:r>
    </w:p>
    <w:p>
      <w:pPr>
        <w:spacing w:before="40" w:after="40"/>
        <w:ind w:left="283"/>
      </w:pPr>
      <w:r>
        <w:rPr>
          <w:rFonts w:ascii="Calibri" w:hAnsi="Calibri"/>
          <w:b/>
          <w:color w:val="4A6B25"/>
          <w:sz w:val="20"/>
        </w:rPr>
        <w:t xml:space="preserve">3. </w:t>
      </w:r>
      <w:r>
        <w:rPr>
          <w:rFonts w:ascii="Calibri" w:hAnsi="Calibri"/>
          <w:b w:val="0"/>
          <w:color w:val="3A4A28"/>
          <w:sz w:val="20"/>
        </w:rPr>
        <w:t>Insider selling by senior management, including COO Kirsty Farrah Ross, signals potential concerns about valuation or growth sustainability at the executive level despite strong public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Online gambling is fundamentally an entertainment and behavioral experience that AI cannot substitute. People gamble for the thrill, social engagement, and entertainment value, not for information that AI could provide more efficiently. The business is heavily regulated across every jurisdiction, creating regulatory moats that AI cannot bypass — each market requires specific licenses, compliance infrastructure, and responsible gambling frameworks [1]. Super Group's proprietary customer data, brand recognition (Betway is a premium sports betting brand), and localized market knowledge in Africa create switching costs and competitive advantages that AI enhances rather than threatens. The primary risk vector is that AI could help competitors build better personalization and pricing engines, but this is a competitive pressure issue, not a business model disruption issue. AI Opportunity (1/1): Super Group is actively deploying AI-driven hyper-personalized bet pricing and dynamic odds engines, translating real-time liability analysis and customer behavior insights into revenue-generating tools [3]. AI investments in payments and market-specific product innovation directly contribute to the 18%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 Group Q1 2026 Earnings Release — Business Wire,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SGHC Key Statistics and Valuation,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Sahm Capital — 'How Super Group's Dividend Hike and AI Efficiency Push Has Changed Its Investment Story,' June 2026</w:t>
      </w:r>
    </w:p>
    <w:p>
      <w:pPr>
        <w:spacing w:before="20" w:after="20"/>
        <w:ind w:left="170"/>
      </w:pPr>
      <w:r>
        <w:rPr>
          <w:rFonts w:ascii="Calibri" w:hAnsi="Calibri"/>
          <w:b/>
          <w:color w:val="4A6B25"/>
          <w:sz w:val="15"/>
        </w:rPr>
        <w:t xml:space="preserve">4. </w:t>
      </w:r>
      <w:r>
        <w:rPr>
          <w:rFonts w:ascii="Calibri" w:hAnsi="Calibri"/>
          <w:b w:val="0"/>
          <w:color w:val="3A4A28"/>
          <w:sz w:val="17"/>
        </w:rPr>
        <w:t>Kavout — 'What Do Recent Insider Sales at Super Group (SGHC) Signal,' 2026</w:t>
      </w:r>
    </w:p>
    <w:p>
      <w:pPr>
        <w:spacing w:before="20" w:after="20"/>
        <w:ind w:left="170"/>
      </w:pPr>
      <w:r>
        <w:rPr>
          <w:rFonts w:ascii="Calibri" w:hAnsi="Calibri"/>
          <w:b/>
          <w:color w:val="4A6B25"/>
          <w:sz w:val="15"/>
        </w:rPr>
        <w:t xml:space="preserve">5. </w:t>
      </w:r>
      <w:r>
        <w:rPr>
          <w:rFonts w:ascii="Calibri" w:hAnsi="Calibri"/>
          <w:b w:val="0"/>
          <w:color w:val="3A4A28"/>
          <w:sz w:val="17"/>
        </w:rPr>
        <w:t>Tribuna.com / Insider Monkey — 'Super Group reports 18% revenue growth; Betway Nigeria expansion,'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