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SGI</w:t>
      </w:r>
      <w:r>
        <w:rPr>
          <w:rFonts w:ascii="Calibri" w:hAnsi="Calibri"/>
          <w:b/>
          <w:color w:val="1A2010"/>
          <w:sz w:val="40"/>
        </w:rPr>
        <w:t xml:space="preserve">  Somnigroup International Inc.</w:t>
      </w:r>
    </w:p>
    <w:p>
      <w:pPr>
        <w:spacing w:after="120"/>
      </w:pPr>
      <w:r>
        <w:rPr>
          <w:rFonts w:ascii="Calibri" w:hAnsi="Calibri"/>
          <w:b/>
          <w:color w:val="6E8450"/>
          <w:sz w:val="18"/>
        </w:rPr>
        <w:t>GROWTH SLEEVE · 2026-07-21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NYSE · United States</w:t>
      </w:r>
    </w:p>
    <w:p>
      <w:pPr>
        <w:spacing w:after="80"/>
      </w:pPr>
      <w:r>
        <w:rPr>
          <w:rFonts w:ascii="Calibri" w:hAnsi="Calibri"/>
          <w:b w:val="0"/>
          <w:color w:val="3A4A28"/>
          <w:sz w:val="20"/>
        </w:rPr>
        <w:t>Somnigroup International Inc. (formerly Tempur Sealy International) is the world's largest bedding company, designing, manufacturing, distributing, and retailing mattresses, foundations, and accessories under the Tempur-Pedic, Sealy, Stearns &amp; Foster, and Sleepy's brands. Following the 2025 Mattress Firm acquisition, the company operates vertically integrated retail through 2,300+ stores. In April 2026, Somnigroup announced a $2.5 billion all-stock merger with Leggett &amp; Platt to integrate mattress component manufacturing. Founded 1846, headquartered in Dallas, Texas.</w:t>
      </w:r>
    </w:p>
    <w:p>
      <w:r>
        <w:rPr>
          <w:rFonts w:ascii="Calibri" w:hAnsi="Calibri"/>
          <w:b/>
          <w:color w:val="6E8450"/>
          <w:sz w:val="18"/>
        </w:rPr>
        <w:t>55,000 Employees · https://www.somnigroup.com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Somnigroup has executed two transformative acquisitions — the $4B Mattress Firm acquisition (closed January 2025) that created a vertically integrated sleep platform with retail distribution, and the $2.5B all-stock Leggett &amp; Platt merger announced April 2026 to integrate component manufacturing [1][3]. Revenue grew 12.3% YoY to $1.80B in Q1 2026, demonstrating post-acquisition momentum. The company renamed from Tempur Sealy to Somnigroup to signal its evolution from mattress manufacturer to sleep platform. These are significant strategic moves, though primarily acquisitive rather than organic innovation. AI Deployment (1/2): Somnigroup invested $25M for an approximate 15.6% equity stake in Fullpower-AI, whose Sleeptracker-AI technology has powered the TEMPUR-Ergo Smart Base for 250 million+ nights of sleep, validated by Stanford and UCSF for biosensing [2]. Smart bases carry a price premium, directly monetizing AI. However, specific AI revenue figures as a percentage of total sales have not been disclosed. Market Share (2/2): Somnigroup is the world's largest bedding company — Sealy is the number-one mattress brand in the US, Tempur-Pedic dominates the premium segment, and Mattress Firm is the largest specialty mattress retail network with 2,300+ stores [1]. The Leggett &amp; Platt merger will add the dominant mattress spring and component supplier [3]. Product Pipeline (1/2): Fullpower-AI partnership extended through 2036 with exclusive global rights for Sleeptracker technology in bedding products, and the Leggett &amp; Platt merger is expected to close by year-end 2026 [2][4]. However, no breakthrough next-gen consumer product with specific launch dates was disclosed. R&amp;D Intensity (1/1): The $25M Fullpower-AI investment and ongoing material science innovation in TEMPUR foam formulations place R&amp;D investment above the consumer durables industry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Somnigroup describes itself as 'dedicated to improving people's lives through better sleep,' connecting the business to a genuine purpose around sleep health and wellness [2]. The rebranding to Somnigroup signals strategic ambition to transcend mattress manufacturing into a sleep wellness platform. However, this purpose is functional rather than transformative — it identifies what the company does and for whom but doesn't articulate a deeply inspiring vision that differentiates from peer mattress companies. Community Impact (1/2): Somnigroup achieved zero waste to landfill status across manufacturing and corporate offices and set a carbon neutrality goal for 2040, documenting environmental progress in Corporate Social Values Reports [1]. These represent meaningful sustainability commitments but are standard for large consumer goods companies. Employee Retention (0/2): No specific employee retention data, average tenure, or turnover metrics were found. CEO Scott Thompson has served since 2015, providing leadership continuity, but no broader organizational retention evidence was identified [2]. Insider Buying (0/2): No evidence of substantial open-market insider purchases by CEO Thompson or other executives in the last 12 months was found. Insider alignment is primarily through equity-based compensation grants rather than demonstrated market buying with personal capital.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$1.80B in revenue (up 12.3% YoY) with net income of $104M, adjusted EBITDA of $296.8M, and record Q1 operating cash flow of $247M and free cash flow of $186M [1]. Full-year 2026 guidance targets approximately $7.8B in revenue at the midpoint with gross margin slightly above 45%. D/E of 207% is elevated from the Mattress Firm acquisition debt but within scoring range, scoring 0.40 [5]. ROE of 17.68% exceeds the 15% target, scoring 1.0 with 2x weight [5]. Revenue growth YoY of 12.3% exceeds the 10% target, scoring 1.0 [1]. Revenue growth 5-year CAGR of 14.5% exceeds the 10% target, scoring 1.0 with 2x weight [5]. Forward P/E of 22.75 is slightly above the 20x target, scoring 0.93 [5]. Net profit margin of 6.80% is below the 20% target, scoring 0.34 [5]. Forward PEG of approximately 0.96 is below the 1.0 target, scoring 1.0 with 2x weight. Net debt was reduced by nearly $500M over the trailing 12 months to $4.5B, bringing leverage to 3.1x with a target of 2-3x [1]. Liquidity floor easily cleared: 3.29M avg volume times $72.71 = $239M.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Somnigroup demonstrates strong infinite game characteristics through a pattern of bold, transformative strategic bets in service of its sleep improvement purpose. The $4B Mattress Firm acquisition, $25M Fullpower-AI investment, rename to Somnigroup, and now the $2.5B Leggett &amp; Platt merger represent a sustained pattern of reinventing the company from mattress manufacturer to vertically integrated sleep platform. The company's willingness to take on significant debt and execution risk for long-term structural advantages, combined with 180 years of institutional heritage through Sealy, demonstrates endurance and strategic courage. The Leggett &amp; Platt merger, acquiring a company whose springs and components underpin the entire mattress industry, is existential flexibility at scale.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Improving people's lives through better sleep is a genuine cause that connects Somnigroup's product portfolio to human wellbeing. The Sleeptracker-AI platform collecting 250M+ nights of data for health insights gives the cause substance beyond marketing [2]. The rebranding to Somnigroup and the sustained pattern of investments in AI sleep technology, retail distribution, and now component manufacturing all trace back to this purpose of improving sleep. However, the cause hasn't been tested through a deliberate sacrifice of profitable business in service of the mission, and the activist shareholder influence (H Partners) suggests financial engineering competes with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Scott Thompson's 11-year tenure provides stability, and the company has successfully integrated the Mattress Firm acquisition while maintaining organizational continuity [2]. Steven Rusing was expanded to President &amp; CEO of Mattress Firm, showing leadership development within the organization. However, no specific data on employee trust, turnover, or cultural health was identified, and the rapid pace of acquisitions and integration may strain organizational trust across the expanded 55,000+ employee base [1].</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Somnigroup frames its competitive strategy around improving sleep outcomes and building a vertically integrated platform rather than defeating specific competitors [2]. The Leggett &amp; Platt merger is positioned as strategic supply chain integration to improve product quality and cost structure, not as competitive destruction [3]. The company acknowledges the broader sleep wellness industry as an opportunity for all participants, consistent with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Somnigroup has fundamentally reinvented itself multiple times — from Tempur-Pedic (single premium brand) to Tempur Sealy (2012 merger creating the largest mattress company), to Somnigroup (2025 rename with Mattress Firm retail integration), and now pursuing the Leggett &amp; Platt merger to integrate component manufacturing [1][3]. Each transformation has been transformative rather than incremental, driven by the vision of building a vertically integrated sleep platform. The willingness to rename a 180-year-old company (Sealy) and take on $4.5B in debt for the Mattress Firm deal demonstrates genuine flexibility in service of the evolving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Somnigroup demonstrates a clear pattern of courageous capital allocation decisions. The $4B Mattress Firm acquisition required regulatory concessions and added significant leverage [1]. The $25M Fullpower-AI investment with exclusive 10-year licensing committed to AI sleep technology before the market validated it [2]. Now the $2.5B Leggett &amp; Platt merger extends the vertical integration strategy further. Each of these decisions was costly, controversial, and long-term oriented — the hallmarks of courageous leadership in Sinek's framework. Management invested in long-term capability building while accepting near-term financial complexity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Somnigroup is the world's largest bedding company with $7.67B in trailing twelve-month revenue, delivering Q1 2026 results of $1.80B revenue (up 12.3% YoY) with $104M net income, record Q1 operating cash flow of $247M, and record Q1 free cash flow of $186M [1]. The company has reduced net debt by nearly $500M over 12 months while maintaining its vertical integration strategy. At 22.75x forward P/E with a PEG of 0.96, the stock is reasonably valued relative to its growth trajectory and 14.5% five-year revenue CAGR [5]. The $2.5B Leggett &amp; Platt merger, which cleared HSR antitrust review in June 2026, will integrate the dominant mattress component supplier into the platform, extending the vertical integration moat [3][4]. The Fullpower-AI exclusive partnership through 2036 with 250M+ nights of validated sleep data creates a defensible AI sleep technology position, and the 2026 guidance targets approximately $7.8B revenue with gross margin above 45% [1][2].</w:t>
      </w:r>
    </w:p>
    <w:p>
      <w:pPr>
        <w:spacing w:after="120"/>
      </w:pPr>
      <w:r>
        <w:rPr>
          <w:rFonts w:ascii="Calibri" w:hAnsi="Calibri"/>
          <w:b w:val="0"/>
          <w:color w:val="3A4A28"/>
          <w:sz w:val="20"/>
        </w:rPr>
        <w:t>The bear case centers on integration complexity, leverage, and cyclicality. D/E of 207% reflects the Mattress Firm acquisition debt, and the all-stock Leggett &amp; Platt merger adds further operational complexity to an already large integration effort [1][3]. Net profit margin of 6.80% is thin for a branded consumer goods company, and organic revenue growth guidance of mid-single digits after stripping out acquisitions suggests the underlying growth engine is modest [1]. The mattress industry is highly cyclical and correlated with housing market activity and consumer confidence — a recession would pressure both Mattress Firm retail traffic and premium Tempur-Pedic purchases. The stock has declined 14% from its $84.54 level in April 2026, suggesting investors are digesting the Leggett &amp; Platt merger complexity. The Leggett &amp; Platt deal still requires shareholder approval and multiple international regulatory clearances (Canada, EU, UK, Korea, Austria) before the expected year-end 2026 close [4]. If the merger fails or synergies underdeliver, the company will have expended significant management bandwidth for minimal return.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Leggett &amp; Platt merger closing by year-end 2026, integrating the dominant mattress component manufacturer and completing the vertically integrated sleep platform from materials to retail [3][4]</w:t>
      </w:r>
    </w:p>
    <w:p>
      <w:pPr>
        <w:spacing w:before="40" w:after="40"/>
        <w:ind w:left="283"/>
      </w:pPr>
      <w:r>
        <w:rPr>
          <w:rFonts w:ascii="Calibri" w:hAnsi="Calibri"/>
          <w:b/>
          <w:color w:val="4A6B25"/>
          <w:sz w:val="20"/>
        </w:rPr>
        <w:t xml:space="preserve">2. </w:t>
      </w:r>
      <w:r>
        <w:rPr>
          <w:rFonts w:ascii="Calibri" w:hAnsi="Calibri"/>
          <w:b w:val="0"/>
          <w:color w:val="3A4A28"/>
          <w:sz w:val="20"/>
        </w:rPr>
        <w:t>Continued net debt reduction (nearly $500M over TTM) bringing leverage toward the 2-3x target range, with record free cash flow generation of $186M in Q1 alone supporting deleveraging [1]</w:t>
      </w:r>
    </w:p>
    <w:p>
      <w:pPr>
        <w:spacing w:before="40" w:after="40"/>
        <w:ind w:left="283"/>
      </w:pPr>
      <w:r>
        <w:rPr>
          <w:rFonts w:ascii="Calibri" w:hAnsi="Calibri"/>
          <w:b/>
          <w:color w:val="4A6B25"/>
          <w:sz w:val="20"/>
        </w:rPr>
        <w:t xml:space="preserve">3. </w:t>
      </w:r>
      <w:r>
        <w:rPr>
          <w:rFonts w:ascii="Calibri" w:hAnsi="Calibri"/>
          <w:b w:val="0"/>
          <w:color w:val="3A4A28"/>
          <w:sz w:val="20"/>
        </w:rPr>
        <w:t>AI sleep technology scaling through the Fullpower-AI exclusive partnership with 250M+ nights of validated data, creating opportunities for health-tech partnerships and premium pricing across the global Tempur-Pedic smart base ecosystem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complexity from the $2.5B Leggett &amp; Platt merger on top of the still-integrating $4B Mattress Firm acquisition, with multiple international regulatory approvals still pending and management bandwidth stretched across two major transactions [3][4]</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at 207% D/E with $4.5B net debt and leverage ratio of 3.1x versus the 2-3x target, creating interest rate sensitivity and limiting financial flexibility in a cyclical consumer industry [1]</w:t>
      </w:r>
    </w:p>
    <w:p>
      <w:pPr>
        <w:spacing w:before="40" w:after="40"/>
        <w:ind w:left="283"/>
      </w:pPr>
      <w:r>
        <w:rPr>
          <w:rFonts w:ascii="Calibri" w:hAnsi="Calibri"/>
          <w:b/>
          <w:color w:val="4A6B25"/>
          <w:sz w:val="20"/>
        </w:rPr>
        <w:t xml:space="preserve">3. </w:t>
      </w:r>
      <w:r>
        <w:rPr>
          <w:rFonts w:ascii="Calibri" w:hAnsi="Calibri"/>
          <w:b w:val="0"/>
          <w:color w:val="3A4A28"/>
          <w:sz w:val="20"/>
        </w:rPr>
        <w:t>Cyclical consumer demand exposure — mattress purchases are highly correlated with housing activity and consumer confidence, and a recession would pressure both Mattress Firm's 2,300+ store retail network and Tempur-Pedic's premium price points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Somnigroup manufactures physical mattresses, operates 2,300+ retail stores, and manages a complex global supply chain for bedding products — AI cannot replace the physical product, in-store sleep trial experience, or manufacturing infrastructure [1]. The bedding industry is fundamentally physical with zero substitution risk from AI tools. Brand loyalty in premium mattresses (Tempur-Pedic commands $3,000+ price points) is built on proprietary TEMPUR material science and physical comfort, not digitizable services. Some risk exists from AI-powered online mattress recommendation tools that could shift retail dynamics, but Mattress Firm's physical retail presence and the tactile nature of mattress purchasing provide strong defensive moats. AI Opportunity (1/1): The Fullpower-AI partnership with 250M+ nights of validated sleep data powering TEMPUR-Ergo Smart Bases at price premiums demonstrates meaningful AI-enabled revenue enhancement, with exclusive global rights secured through 2036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Somnigroup Q1 2026 Earnings Release — $1.80B revenue (up 12.3%), $104M net income, $247M operating cash flow, $186M free cash flow, full-year guidance, May 2026</w:t>
      </w:r>
    </w:p>
    <w:p>
      <w:pPr>
        <w:spacing w:before="20" w:after="20"/>
        <w:ind w:left="170"/>
      </w:pPr>
      <w:r>
        <w:rPr>
          <w:rFonts w:ascii="Calibri" w:hAnsi="Calibri"/>
          <w:b/>
          <w:color w:val="4A6B25"/>
          <w:sz w:val="15"/>
        </w:rPr>
        <w:t xml:space="preserve">2. </w:t>
      </w:r>
      <w:r>
        <w:rPr>
          <w:rFonts w:ascii="Calibri" w:hAnsi="Calibri"/>
          <w:b w:val="0"/>
          <w:color w:val="3A4A28"/>
          <w:sz w:val="17"/>
        </w:rPr>
        <w:t>Somnigroup-Fullpower AI Strategic Partnership — $25M equity investment, exclusive Sleeptracker-AI rights through 2036, 250M+ nights of validated sleep data, PR Newswire 2025</w:t>
      </w:r>
    </w:p>
    <w:p>
      <w:pPr>
        <w:spacing w:before="20" w:after="20"/>
        <w:ind w:left="170"/>
      </w:pPr>
      <w:r>
        <w:rPr>
          <w:rFonts w:ascii="Calibri" w:hAnsi="Calibri"/>
          <w:b/>
          <w:color w:val="4A6B25"/>
          <w:sz w:val="15"/>
        </w:rPr>
        <w:t xml:space="preserve">3. </w:t>
      </w:r>
      <w:r>
        <w:rPr>
          <w:rFonts w:ascii="Calibri" w:hAnsi="Calibri"/>
          <w:b w:val="0"/>
          <w:color w:val="3A4A28"/>
          <w:sz w:val="17"/>
        </w:rPr>
        <w:t>Somnigroup-Leggett &amp; Platt Merger Agreement — $2.5B all-stock transaction, 0.1455 exchange ratio, SEC S-4 Filing, April 2026</w:t>
      </w:r>
    </w:p>
    <w:p>
      <w:pPr>
        <w:spacing w:before="20" w:after="20"/>
        <w:ind w:left="170"/>
      </w:pPr>
      <w:r>
        <w:rPr>
          <w:rFonts w:ascii="Calibri" w:hAnsi="Calibri"/>
          <w:b/>
          <w:color w:val="4A6B25"/>
          <w:sz w:val="15"/>
        </w:rPr>
        <w:t xml:space="preserve">4. </w:t>
      </w:r>
      <w:r>
        <w:rPr>
          <w:rFonts w:ascii="Calibri" w:hAnsi="Calibri"/>
          <w:b w:val="0"/>
          <w:color w:val="3A4A28"/>
          <w:sz w:val="17"/>
        </w:rPr>
        <w:t>Somnigroup HSR Antitrust Clearance for Leggett &amp; Platt Merger — somnigroup.com, June 4,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 — SGI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