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SHC</w:t>
      </w:r>
      <w:r>
        <w:rPr>
          <w:rFonts w:ascii="Calibri" w:hAnsi="Calibri"/>
          <w:b/>
          <w:color w:val="1A2010"/>
          <w:sz w:val="40"/>
        </w:rPr>
        <w:t xml:space="preserve">  Sotera Health Company</w:t>
      </w:r>
    </w:p>
    <w:p>
      <w:pPr>
        <w:spacing w:after="120"/>
      </w:pPr>
      <w:r>
        <w:rPr>
          <w:rFonts w:ascii="Calibri" w:hAnsi="Calibri"/>
          <w:b/>
          <w:color w:val="6E8450"/>
          <w:sz w:val="18"/>
        </w:rPr>
        <w:t>GROWTH SLEEVE · 2026-07-14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Sotera Health Company is a leading global provider of mission-critical sterilization and lab testing and advisory services for the healthcare industry. The company operates through three segments: Sterigenics (contract sterilization using ethylene oxide, gamma radiation, electron beam, and X-ray technologies), Nordion (cobalt-60 and gamma technologies for sterilization, medical, and industrial applications), and Nelson Labs (microbiological and analytical chemistry testing, consulting, and advisory services). Sotera Health serves medical device, pharmaceutical, and food safety customers worldwide. Founded in 2017 as a holding company and headquartered in Broadview Heights, Ohio.</w:t>
      </w:r>
    </w:p>
    <w:p>
      <w:r>
        <w:rPr>
          <w:rFonts w:ascii="Calibri" w:hAnsi="Calibri"/>
          <w:b/>
          <w:color w:val="6E8450"/>
          <w:sz w:val="18"/>
        </w:rPr>
        <w:t>3,300 Employees · https://www.soterahealth.com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Sotera Health has delivered 20 consecutive years of revenue growth — a remarkable consistency record in any industry [1]. Q1 2026 revenue increased 10.0% YoY (6.5% constant currency) with adjusted EBITDA up 10.5%, demonstrating continued operational momentum [1]. Full-year 2025 revenue of $1.164B (up 5.7%) with adjusted EBITDA growing 8.2% to $594M shows improving profitability leverage. However, this growth is organic market expansion of essential services rather than transformative innovation. AI Deployment (0/2): Sterilization and lab testing are fundamentally physical, regulated processes with minimal AI integration. No meaningful AI deployment has been disclosed. Market Share (2/2): Sotera Health is the global market leader in contract sterilization services through Sterigenics and in cobalt-60 supply through Nordion. The company processes approximately 40% of all medical devices sterilized worldwide, creating a critical infrastructure position in the healthcare supply chain [2]. Product Pipeline (0/2): The product pipeline is limited to incremental modality expansion (X-ray sterilization, electron beam) and geographic expansion rather than transformative new offerings. R&amp;D Intensity (1/1): Nelson Labs provides the R&amp;D and innovation arm, offering microbiological testing, analytical chemistry, and regulatory consulting that keeps the company at the frontier of sterilization science and regulatory compliance.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Sotera Health's mission — safeguarding global health through essential sterilization and testing services — is genuinely meaningful. Every surgical kit, implantable device, and pharmaceutical product requires sterilization, making Sotera's work directly connected to patient safety [2]. However, the mission's credibility is significantly undermined by the ethylene oxide (EtO) litigation. The $408M Willowbrook, Illinois settlement and ongoing litigation related to other facilities allege that Sterigenics released carcinogenic EtO into residential communities — a direct contradiction of the health-safety mission [3]. The denial of liability while paying $408M+ in settlements creates a trust deficit. Community Impact (1/2): The EtO controversy reveals a tension between the company's healthcare mission and its environmental impact on surrounding communities [3]. While 879 of 882 eligible claimants opted into the Illinois settlement, ongoing litigation in other states suggests the issue is not fully resolved. Separate from the controversy, Sotera's sterilization services are genuinely essential to global health infrastructure. Employee Retention (1/2): Limited Glassdoor data available. The leadership transition from CEO Michael Petras to Alton Shader in May 2026 was described as planned and orderly, suggesting stable succession planning [2]. Insider Buying (0/2): No notable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Sotera Health demonstrates exceptional operating performance with a 36.25% operating margin and 47.11% EBITDA margin — among the highest in the healthcare services industry, reflecting the mission-critical nature and pricing power of its sterilization franchise [4]. ROE of 22.73% is strong. Forward P/E of 18.39 is reasonable for a stable growth business with 6.22% projected annual revenue growth [4]. However, the balance sheet is the dominant concern: D/E of 3.65 (365%) reflects $2.27B in total debt against a modest equity base [4]. This extreme leverage stems from the company's private equity heritage (Warburg Pincus and GTCR sponsors). While the debt is manageable given the predictable cash flows ($261M operating cash flow, $96.8M FCF), it limits financial flexibility and creates vulnerability to interest rate increases or revenue disruption. GAAP profit margin of just 9.91% (vs. 36.25% operating margin) reflects the heavy interest expense burden [4]. No dividend. Revenue growth of 10% YoY in Q1 2026 is encouraging, but the trailing P/E of 44.49 is elevated relative to the growth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Sotera Health operates an essential health infrastructure business with inherent infinite game characteristics — sterilization will be needed as long as modern medicine exists, providing a permanently relevant purpose. The 20 consecutive years of revenue growth suggest long-term orientation. However, the ethylene oxide litigation reveals a failure to prioritize community safety over operational convenience, the extreme leverage from private equity sponsorship prioritizes financial returns over long-term resilience, and the leadership transition creates uncertainty about future strategic direction.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Sotera Health's purpose — safeguarding global health by ensuring medical devices, pharmaceuticals, and food products are safe for use — is inherently just and permanently relevant [2]. Sterilization is essential to modern medicine, and Sotera processes approximately 40% of all medical devices sterilized worldwide. The cause is forward-looking (healthcare demand grows with population aging) and inclusive (every patient benefits from properly sterilized medical products). However, the $408M ethylene oxide settlement and community health allegations undermine the credibility of the health-safety mission when applied to surrounding communities rather than just end-use patients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Limited public data on organizational culture. The planned leadership transition from CEO Michael Petras to Alton Shader (May 2026) was executed smoothly with Petras transitioning to Executive Chairman, suggesting some degree of organizational trust and succession planning [2]. Petras's tenure saw revenue grow from $630M to $1.164B (2016-2025), suggesting stable leadership. However, the private equity heritage (Warburg Pincus, GTCR) typically creates more transactional, financially-driven cultures than purpose-driven ones. The EtO litigation and community relations challenges suggest trust deficits with external stakeholders.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Sotera Health's dominant market position (40% of global medical device sterilization) means it has limited direct rivals of comparable scale. STERIS plc is the closest comparable competitor. The EtO regulatory environment and emerging alternative sterilization modalities (X-ray, e-beam) serve as competitive pressures that drive innovation. The company's investment in diversifying sterilization technologies beyond EtO suggests awareness of competitive and regulatory pressures.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Sotera Health has shown some flexibility in diversifying sterilization modalities — investing in X-ray and electron beam capabilities as alternatives to ethylene oxide in response to regulatory and litigation pressure [3]. The three-segment structure (Sterigenics, Nordion, Nelson Labs) provides business model diversity. However, the core business model has remained fundamentally unchanged for decades, and the company's response to the EtO controversy has been more defensive (settlements, denial of liability) than transformative (proactive shift to alternative technologies).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 consecutive years of revenue growth required sustained execution discipline, and the recent leadership transition from Petras to Shader was managed proactively [1][2]. However, the response to the ethylene oxide litigation — settling for $408M+ while denying liability — reflects pragmatic damage control rather than courageous leadership on environmental health [3]. The extreme leverage (D/E 3.65) from private equity structuring prioritizes financial engineering over operational resilience, reflecting finite-game capital allocation. No bold strategic bets or industry-transforming initiatives have been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Sotera Health is a mission-critical health infrastructure company with a dominant global position in contract sterilization — processing approximately 40% of all medical devices sterilized worldwide [2]. The business model delivers exceptional operating leverage with a 47.11% EBITDA margin and 36.25% operating margin, reflecting the essential, non-discretionary nature of the service [4]. Q1 2026 results showed accelerating momentum with 10% revenue growth and 10.5% adjusted EBITDA growth [1]. The company has achieved 20 consecutive years of revenue growth, an extraordinary consistency record. The forward P/E of 18.39 is reasonable for a stable grower with improving profitability, and the recent EPS inflection (adjusted EPS +29% YoY in Q1 2026) signals the transition from revenue growth to earnings growth [1]. Goldman Sachs's recent legal-risk reassessment has helped shift the investment narrative from litigation overhang to operating fundamentals.</w:t>
      </w:r>
    </w:p>
    <w:p>
      <w:pPr>
        <w:spacing w:after="120"/>
      </w:pPr>
      <w:r>
        <w:rPr>
          <w:rFonts w:ascii="Calibri" w:hAnsi="Calibri"/>
          <w:b w:val="0"/>
          <w:color w:val="3A4A28"/>
          <w:sz w:val="20"/>
        </w:rPr>
        <w:t>The bear case is dominated by two structural concerns. First, the balance sheet carries $2.27B in debt (D/E 365%), a legacy of private equity sponsorship that generates heavy interest expense and compresses GAAP profit margin to just 9.91% despite a 36.25% operating margin [4]. This leverage limits financial flexibility, creates refinancing risk, and means shareholders bear disproportionate downside in any revenue disruption scenario. Second, while the $408M Willowbrook ethylene oxide settlement covers 879 of 882 eligible claimants, ongoing litigation related to facilities in other U.S. states (including Georgia) represents a continuing tail risk that could require additional settlements [3]. The broader regulatory environment for EtO emissions is tightening, with new EPA rules requiring continuous monitoring and reporting that could increase compliance costs or force facility modifications. The leadership transition to new CEO Alton Shader (May 2026) creates execution uncertainty at a critical moment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growth acceleration beyond the 6.5% constant currency rate in Q1 2026, driven by healthcare volume recovery and global sterilization demand growth [1]</w:t>
      </w:r>
    </w:p>
    <w:p>
      <w:pPr>
        <w:spacing w:before="40" w:after="40"/>
        <w:ind w:left="283"/>
      </w:pPr>
      <w:r>
        <w:rPr>
          <w:rFonts w:ascii="Calibri" w:hAnsi="Calibri"/>
          <w:b/>
          <w:color w:val="4A6B25"/>
          <w:sz w:val="20"/>
        </w:rPr>
        <w:t xml:space="preserve">2. </w:t>
      </w:r>
      <w:r>
        <w:rPr>
          <w:rFonts w:ascii="Calibri" w:hAnsi="Calibri"/>
          <w:b w:val="0"/>
          <w:color w:val="3A4A28"/>
          <w:sz w:val="20"/>
        </w:rPr>
        <w:t>Deleveraging trajectory — applying free cash flow to debt reduction could meaningfully improve the D/E ratio and release GAAP earnings power currently consumed by interest expense [4]</w:t>
      </w:r>
    </w:p>
    <w:p>
      <w:pPr>
        <w:spacing w:before="40" w:after="40"/>
        <w:ind w:left="283"/>
      </w:pPr>
      <w:r>
        <w:rPr>
          <w:rFonts w:ascii="Calibri" w:hAnsi="Calibri"/>
          <w:b/>
          <w:color w:val="4A6B25"/>
          <w:sz w:val="20"/>
        </w:rPr>
        <w:t xml:space="preserve">3. </w:t>
      </w:r>
      <w:r>
        <w:rPr>
          <w:rFonts w:ascii="Calibri" w:hAnsi="Calibri"/>
          <w:b w:val="0"/>
          <w:color w:val="3A4A28"/>
          <w:sz w:val="20"/>
        </w:rPr>
        <w:t>Resolution of remaining ethylene oxide litigation in Georgia and other states could remove the legal overhang that has compressed the stock's valuation relative to healthcare service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(D/E 365%, $2.27B total debt) creates refinancing risk, limits strategic flexibility, and compresses GAAP profitability to 9.91% profit margin despite exceptional 36.25% operating margins [4]</w:t>
      </w:r>
    </w:p>
    <w:p>
      <w:pPr>
        <w:spacing w:before="40" w:after="40"/>
        <w:ind w:left="283"/>
      </w:pPr>
      <w:r>
        <w:rPr>
          <w:rFonts w:ascii="Calibri" w:hAnsi="Calibri"/>
          <w:b/>
          <w:color w:val="4A6B25"/>
          <w:sz w:val="20"/>
        </w:rPr>
        <w:t xml:space="preserve">2. </w:t>
      </w:r>
      <w:r>
        <w:rPr>
          <w:rFonts w:ascii="Calibri" w:hAnsi="Calibri"/>
          <w:b w:val="0"/>
          <w:color w:val="3A4A28"/>
          <w:sz w:val="20"/>
        </w:rPr>
        <w:t>Ongoing ethylene oxide litigation beyond the $408M Illinois settlement — cases in Georgia and other states represent continuing tail risk, and tightening EPA regulations on EtO emissions could increase compliance costs or force operational changes [3]</w:t>
      </w:r>
    </w:p>
    <w:p>
      <w:pPr>
        <w:spacing w:before="40" w:after="40"/>
        <w:ind w:left="283"/>
      </w:pPr>
      <w:r>
        <w:rPr>
          <w:rFonts w:ascii="Calibri" w:hAnsi="Calibri"/>
          <w:b/>
          <w:color w:val="4A6B25"/>
          <w:sz w:val="20"/>
        </w:rPr>
        <w:t xml:space="preserve">3. </w:t>
      </w:r>
      <w:r>
        <w:rPr>
          <w:rFonts w:ascii="Calibri" w:hAnsi="Calibri"/>
          <w:b w:val="0"/>
          <w:color w:val="3A4A28"/>
          <w:sz w:val="20"/>
        </w:rPr>
        <w:t>New CEO Alton Shader (appointed May 2026) faces the dual challenge of managing a leadership transition while navigating ongoing litigation, regulatory pressure, and deleveraging — any misstep could destabilize investor confidence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Sotera Health's core businesses are highly protected from AI disruption. Contract sterilization is a physical process — exposing medical devices to ethylene oxide gas, gamma radiation, or electron beams cannot be replicated or substituted by artificial intelligence [2]. The service requires specialized facilities, regulatory approvals (FDA, EPA), and decades of operational expertise. Nordion's cobalt-60 supply business is even more AI-proof — nuclear material processing and supply chain management involve physical, regulatory, and safety barriers far beyond AI's reach. Nelson Labs' testing services involve physical sample handling and biological assays that require wet-lab capabilities. The regulatory moat (FDA sterilization validation requirements, EPA emissions standards) provides additional protection — AI cannot bypass regulatory mandates for physical sterilization of medical devices. Risk vectors are limited to potential AI-driven optimization by competitors in facility operations, and the broader risk that AI-accelerated drug discovery could eventually shift pharmaceutical formats in ways that change sterilization needs. AI Opportunity (1/1): Modest but real opportunities exist in AI-driven quality control, predictive maintenance for sterilization facilities, and Nelson Labs' data analytics capabilities for testing and advisory services. AI could also optimize sterilization cycle parameters and facility scheduling.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Sotera Health Q1 2026 Financial Results and 2026 Outlook — investors.soterahealth.com, May 2026</w:t>
      </w:r>
    </w:p>
    <w:p>
      <w:pPr>
        <w:spacing w:before="20" w:after="20"/>
        <w:ind w:left="170"/>
      </w:pPr>
      <w:r>
        <w:rPr>
          <w:rFonts w:ascii="Calibri" w:hAnsi="Calibri"/>
          <w:b/>
          <w:color w:val="4A6B25"/>
          <w:sz w:val="15"/>
        </w:rPr>
        <w:t xml:space="preserve">2. </w:t>
      </w:r>
      <w:r>
        <w:rPr>
          <w:rFonts w:ascii="Calibri" w:hAnsi="Calibri"/>
          <w:b w:val="0"/>
          <w:color w:val="3A4A28"/>
          <w:sz w:val="17"/>
        </w:rPr>
        <w:t>Sotera Health Leadership Transition and Corporate Overview — investors.soterahealth.com, May 2026</w:t>
      </w:r>
    </w:p>
    <w:p>
      <w:pPr>
        <w:spacing w:before="20" w:after="20"/>
        <w:ind w:left="170"/>
      </w:pPr>
      <w:r>
        <w:rPr>
          <w:rFonts w:ascii="Calibri" w:hAnsi="Calibri"/>
          <w:b/>
          <w:color w:val="4A6B25"/>
          <w:sz w:val="15"/>
        </w:rPr>
        <w:t xml:space="preserve">3. </w:t>
      </w:r>
      <w:r>
        <w:rPr>
          <w:rFonts w:ascii="Calibri" w:hAnsi="Calibri"/>
          <w:b w:val="0"/>
          <w:color w:val="3A4A28"/>
          <w:sz w:val="17"/>
        </w:rPr>
        <w:t>Sotera Health Ethylene Oxide Litigation Settlements — investors.soterahealth.com, BioWorld, and Investing.com, 2023-2026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SHC Key Statistics, Valuation Metrics,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SHC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