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SLDB</w:t>
      </w:r>
      <w:r>
        <w:rPr>
          <w:rFonts w:ascii="Calibri" w:hAnsi="Calibri"/>
          <w:b/>
          <w:color w:val="1A2010"/>
          <w:sz w:val="40"/>
        </w:rPr>
        <w:t xml:space="preserve">  Solid Biosciences Inc.</w:t>
      </w:r>
    </w:p>
    <w:p>
      <w:pPr>
        <w:spacing w:after="120"/>
      </w:pPr>
      <w:r>
        <w:rPr>
          <w:rFonts w:ascii="Calibri" w:hAnsi="Calibri"/>
          <w:b/>
          <w:color w:val="6E8450"/>
          <w:sz w:val="18"/>
        </w:rPr>
        <w:t>GROWTH SLEEVE · 2026-08-02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Solid Biosciences Inc. is a life sciences company developing precision genetic medicines for neuromuscular and cardiac diseases. The company's portfolio includes SGT-003 (Duchenne muscular dystrophy, Phase 3 IMPACT DUCHENNE trial), SGT-212 (Friedreich's ataxia), SGT-501 (catecholaminergic polymorphic ventricular tachycardia, CPVT), and SGT-601 (TNNT2-mediated dilated cardiomyopathy). The proprietary next-generation capsid AAV-SLB101 has been licensed in 50+ agreements.</w:t>
      </w:r>
    </w:p>
    <w:p>
      <w:r>
        <w:rPr>
          <w:rFonts w:ascii="Calibri" w:hAnsi="Calibri"/>
          <w:b/>
          <w:color w:val="6E8450"/>
          <w:sz w:val="18"/>
        </w:rPr>
        <w:t>150 Employees · https://www.solidbio.com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Solid Biosciences pivoted from its failed first-generation SGT-001 program (clinical holds, safety concerns) to SGT-003, a next-generation microdystrophin gene therapy that has now advanced to Phase 3 — the IMPACT DUCHENNE trial dosed its first participant in 2026 [1]. The expansion from Duchenne-only to a multi-indication portfolio across neuromuscular and cardiac diseases represents meaningful strategic evolution. AI Deployment (0/2): No evidence of AI-powered products or AI-driven operational efficiencies. The company operates as a traditional clinical-stage biotech focused on gene therapy development [2]. Market Share (1/2): Meaningful player in Duchenne gene therapy competing against Sarepta's FDA-approved Elevidys. The proprietary AAV-SLB101 capsid has been licensed in 50+ agreements with corporations, institutions, and academic labs, establishing platform differentiation [1]. Product Pipeline (2/2): Well-defined pipeline with specific clinical milestones: SGT-003 Phase 3 IMPACT DUCHENNE (dosing underway), SGT-501 Phase 1b ARTEMIS trial for CPVT (first patient dosing expected H2 2026), SGT-212 for Friedreich's ataxia, and SGT-601 for TNNT2-dilated cardiomyopathy [1]. R&amp;D Intensity (1/1): Operating cash usage of $47.2M in Q1 2026 (up from $31.9M in Q1 2025) reflects accelerating R&amp;D investment as clinical programs scale, with essentially all spending directed toward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Solid Biosciences was co-founded by Ilan Ganot, whose son was diagnosed with Duchenne muscular dystrophy — making the mission to develop cures for DMD deeply personal, specific, and distinctive [2]. This is not a corporate platitude; the company exists because a father wanted to save his child. The mission clearly connects work to a larger purpose and differentiates from generic biotech purpose statements. Community Impact (1/2): The company's mission inherently serves the Duchenne and rare disease patient communities. AAV-SLB101 licensing to 50+ institutions expands access to next-generation capsid technology beyond Solid's own programs [1]. However, no specific charitable programs or philanthropic dollar amounts were identified. Employee Retention (0/2): No specific employee retention data, turnover rates, or tenure statistics are publicly available. Joel Schneider's promotion to COO and Erin Powers Brennan's hire as CLO suggest some internal development [2]. Insider Buying (0/2): No evidence of significant net insider buying by executives in the last 12 months was identified. The $240M oversubscribed private placement demonstrates institutional conviction but this is capital raising, not insider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extremely limited available metrics. Solid Biosciences is a pre-revenue clinical-stage biotech with zero product revenue — total operating cash usage reached $47.2M in Q1 2026, up from $31.9M in Q1 2025 [1]. D/E of approximately 10% is extremely low with essentially zero long-term debt (score 1.0, 1x weight) — the balance sheet is funded by equity including the recent $240M private placement. ROE is deeply negative (~-110%) reflecting sustained cash burn (score 0.0, 2x weight). Profit margin is deeply negative (score 0.0, 1x weight). Revenue growth, Forward P/E, and PEG are all excluded as unavailable (pre-revenue company). Cash of $380.7M at March 31, 2026 provides runway to H1 2028 [1]. Infrastructure scored on 3 available metrics: weighted sum 1.0 / max 4.0 = 2.5, rounds to 3. Liquidity floor cleared: 1.16M avg volume x $7.50 = $8.7M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Solid Biosciences exemplifies mission-driven company building — founded by a father seeking to cure his son's Duchenne muscular dystrophy, the company's Just Cause is deeply personal and authentic. The pivot from failed SGT-001 to SGT-003 demonstrated willingness to abandon a failing approach in service of the mission, and the expansion into cardiac diseases shows broadening ambition. However, the company is young, pre-revenue, and has not yet endured the multi-decade tests that distinguish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Solid Biosciences' cause — curing Duchenne muscular dystrophy and genetic neuromuscular/cardiac diseases — is genuine, specific, and deeply personal to co-founder Ilan Ganot, whose son was diagnosed with DMD [2]. This is existential motivation that predates the company's 2013 founding. The cause is inclusive (patients, families, researchers), service-oriented, and idealistic (no cure exists). Expansion into Friedreich's ataxia and cardiac diseases shows the cause broadening beyond DMD. However, the company has not yet validated this cause through decades of consistent execution or market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Joel Schneider's promotion to COO from within the organization and strategic external hires (Erin Powers Brennan as CLO, Roxana Dreghici as SVP Clinical Development) suggest a culture that values both internal development and external talent acquisition [2]. Ian F. Smith was appointed as Chairman, providing governance stability. With approximately 150 employees running multiple clinical programs across rare disease indications, the team operates under high-trust conditions by necessity. However, no specific retention data or cultural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Solid Biosciences acknowledging Sarepta's strengths or framing competition as motivation for self-improvement. The company's messaging focuses on its own differentiated approach rather than learning from competitors [1]. In the rare disease gene therapy space, the competitive language tends toward market positioning rather than the infinite mindset of using rivals' strengths to reveal your own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SGT-001 to SGT-003 represents abandoning the company's lead program and rebuilding around a next-generation approach — a meaningful strategic shift for a small biotech [1]. Expansion from Duchenne-only to a multi-indication portfolio spanning neuromuscular and cardiac diseases (SGT-501 for CPVT, SGT-601 for DCM) shows willingness to broaden beyond the founding focus. The AAV-SLB101 capsid licensing platform (50+ agreements) creates a secondary business model beyond proprietary therapeutics. These are incremental within gene therapy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Solid Biosciences demonstrated genuine courage by publicly abandoning SGT-001 after clinical holds and safety concerns, pivoting to SGT-003 with an improved microdystrophin design — an admission of failure that required rebuilding investor confidence [1]. Advancing SGT-003 to Phase 3 (IMPACT DUCHENNE) while simultaneously expanding into cardiac indications (SGT-501 ARTEMIS trial) with a small team stretches resources in service of the broader mission. The $240M capital raise to fund this expansion showed conviction in the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Solid Biosciences offers high-risk, high-reward exposure to the gene therapy revolution in rare disease. The company has reached a significant inflection point with SGT-003 advancing to Phase 3 in the IMPACT DUCHENNE trial (first patient dosed in 2026), supported by strong Phase 1/2 data showing robust microdystrophin expression and safety [1]. The pipeline has expanded beyond Duchenne into cardiac diseases, with SGT-501 Phase 1b ARTEMIS trial for CPVT expected to begin dosing in H2 2026, SGT-212 for Friedreich's ataxia, and SGT-601 for dilated cardiomyopathy. The proprietary AAV-SLB101 capsid platform, licensed in 50+ agreements, provides validation of the company's technology and potential licensing revenue [1]. Cash of $380.7M extends runway to H1 2028, and the analyst consensus price target of ~$16.75 implies significant upside from current levels.</w:t>
      </w:r>
    </w:p>
    <w:p>
      <w:pPr>
        <w:spacing w:after="120"/>
      </w:pPr>
      <w:r>
        <w:rPr>
          <w:rFonts w:ascii="Calibri" w:hAnsi="Calibri"/>
          <w:b w:val="0"/>
          <w:color w:val="3A4A28"/>
          <w:sz w:val="20"/>
        </w:rPr>
        <w:t>The bear case is substantial for a pre-revenue clinical-stage biotech burning $47M+ per quarter. Zero product revenue with expanding net losses ($47.2M operating cash usage in Q1 2026 vs $31.9M in Q1 2025) means continued dilutive capital raises will be required beyond the H1 2028 cash runway [1]. Sarepta's FDA-approved Elevidys has first-mover advantage in DMD gene therapy, and SGT-003 must demonstrate clear superiority or meaningful differentiation in the Phase 3 IMPACT DUCHENNE trial to carve commercial share. Gene therapy development carries inherent binary risk — manufacturing challenges (viral vector production at scale), immunogenicity concerns, and FDA regulatory setbacks could render the pipeline worthless. The Inspire Impact score of -62 reflects embryonic stem cell involvement that may concern faith-based investors. At approximately $700M market cap with no revenue or near-term path to profitability, SLDB is a speculative position entirely dependent on clinical data readouts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SGT-003 Phase 3 IMPACT DUCHENNE trial data readouts for Duchenne muscular dystrophy, which could validate the next-generation microdystrophin approach and drive significant stock re-rating [1]</w:t>
      </w:r>
    </w:p>
    <w:p>
      <w:pPr>
        <w:spacing w:before="40" w:after="40"/>
        <w:ind w:left="283"/>
      </w:pPr>
      <w:r>
        <w:rPr>
          <w:rFonts w:ascii="Calibri" w:hAnsi="Calibri"/>
          <w:b/>
          <w:color w:val="4A6B25"/>
          <w:sz w:val="20"/>
        </w:rPr>
        <w:t xml:space="preserve">2. </w:t>
      </w:r>
      <w:r>
        <w:rPr>
          <w:rFonts w:ascii="Calibri" w:hAnsi="Calibri"/>
          <w:b w:val="0"/>
          <w:color w:val="3A4A28"/>
          <w:sz w:val="20"/>
        </w:rPr>
        <w:t>SGT-501 Phase 1b ARTEMIS trial initiation in H2 2026 for CPVT, broadening the pipeline into cardiac genetic diseases and expanding the addressable market beyond Duchenne [1]</w:t>
      </w:r>
    </w:p>
    <w:p>
      <w:pPr>
        <w:spacing w:before="40" w:after="40"/>
        <w:ind w:left="283"/>
      </w:pPr>
      <w:r>
        <w:rPr>
          <w:rFonts w:ascii="Calibri" w:hAnsi="Calibri"/>
          <w:b/>
          <w:color w:val="4A6B25"/>
          <w:sz w:val="20"/>
        </w:rPr>
        <w:t xml:space="preserve">3. </w:t>
      </w:r>
      <w:r>
        <w:rPr>
          <w:rFonts w:ascii="Calibri" w:hAnsi="Calibri"/>
          <w:b w:val="0"/>
          <w:color w:val="3A4A28"/>
          <w:sz w:val="20"/>
        </w:rPr>
        <w:t>AAV-SLB101 capsid platform licensed to 50+ institutions, validating the technology and creating potential for licensing revenue streams and partnership opportunities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SGT-003 Phase 3 IMPACT DUCHENNE data could disappoint on efficacy or reveal safety signals, as occurred with the predecessor SGT-001 program that required a complete pivot [1]</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with zero revenue — $47.2M operating cash usage in Q1 2026 (up 48% YoY) requiring continued dilutive capital raises beyond the H1 2028 runway [1]</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to Sarepta's first-mover Elevidys approval in DMD gene therapy, requiring SLDB to demonstrate clear clinical superiority to gain market share in a small patient population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development is a deeply physical, biological, and regulatory process that AI structurally cannot displace [1]. Solid Biosciences' core value creation — engineering AAV vectors, manufacturing gene therapies at GMP scale, conducting multi-site clinical trials, and navigating FDA regulatory pathways — requires wet-lab biology, patient-level clinical outcomes, and regulatory expertise with enormous barriers to AI substitution. The FDA mandates physical clinical trials regardless of computational advances. Gene therapy manufacturing involves complex biological processes (viral vector production, purification, formulation) that have no digital alternative. AI cannot replace a gene therapy infusion into a patient's body. AI Opportunity (0/1): Solid Biosciences does not generate AI revenue. The company could potentially benefit from AI-assisted capsid engineering and gene expression optimization for its AAV-SLB101 platform, but no quantified AI products or revenue streams exist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Solid Biosciences Q1 2026 Financial Results — $47.2M operating cash usage, $380.7M cash, SGT-003 Phase 3 IMPACT DUCHENNE first patient dosed, SGT-501 ARTEMIS trial H2 2026, May 2026</w:t>
      </w:r>
    </w:p>
    <w:p>
      <w:pPr>
        <w:spacing w:before="20" w:after="20"/>
        <w:ind w:left="170"/>
      </w:pPr>
      <w:r>
        <w:rPr>
          <w:rFonts w:ascii="Calibri" w:hAnsi="Calibri"/>
          <w:b/>
          <w:color w:val="4A6B25"/>
          <w:sz w:val="15"/>
        </w:rPr>
        <w:t xml:space="preserve">2. </w:t>
      </w:r>
      <w:r>
        <w:rPr>
          <w:rFonts w:ascii="Calibri" w:hAnsi="Calibri"/>
          <w:b w:val="0"/>
          <w:color w:val="3A4A28"/>
          <w:sz w:val="17"/>
        </w:rPr>
        <w:t>Solid Biosciences Leadership — Co-founder Ilan Ganot (President/CEO), Joel Schneider promoted to COO, Ian F. Smith as Chairman, management and board appointments, 2025-2026</w:t>
      </w:r>
    </w:p>
    <w:p>
      <w:pPr>
        <w:spacing w:before="20" w:after="20"/>
        <w:ind w:left="170"/>
      </w:pPr>
      <w:r>
        <w:rPr>
          <w:rFonts w:ascii="Calibri" w:hAnsi="Calibri"/>
          <w:b/>
          <w:color w:val="4A6B25"/>
          <w:sz w:val="15"/>
        </w:rPr>
        <w:t xml:space="preserve">3. </w:t>
      </w:r>
      <w:r>
        <w:rPr>
          <w:rFonts w:ascii="Calibri" w:hAnsi="Calibri"/>
          <w:b w:val="0"/>
          <w:color w:val="3A4A28"/>
          <w:sz w:val="17"/>
        </w:rPr>
        <w:t>Solid Biosciences Investor Relations — Pipeline overview, AAV-SLB101 capsid platform (50+ licensing agreements), corporate profile,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 — SLDB key statistics, market cap, average volume,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