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SLI</w:t>
      </w:r>
      <w:r>
        <w:rPr>
          <w:rFonts w:ascii="Calibri" w:hAnsi="Calibri"/>
          <w:b/>
          <w:color w:val="1A2010"/>
          <w:sz w:val="40"/>
        </w:rPr>
        <w:t xml:space="preserve">  Standard Lithium Ltd.</w:t>
      </w:r>
    </w:p>
    <w:p>
      <w:pPr>
        <w:spacing w:after="120"/>
      </w:pPr>
      <w:r>
        <w:rPr>
          <w:rFonts w:ascii="Calibri" w:hAnsi="Calibri"/>
          <w:b/>
          <w:color w:val="6E8450"/>
          <w:sz w:val="18"/>
        </w:rPr>
        <w:t>GROWTH SLEEVE · 2026-07-12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American · Canada</w:t>
      </w:r>
    </w:p>
    <w:p>
      <w:pPr>
        <w:spacing w:after="80"/>
      </w:pPr>
      <w:r>
        <w:rPr>
          <w:rFonts w:ascii="Calibri" w:hAnsi="Calibri"/>
          <w:b w:val="0"/>
          <w:color w:val="3A4A28"/>
          <w:sz w:val="20"/>
        </w:rPr>
        <w:t>Standard Lithium Ltd. explores for and develops lithium brine properties in the United States using proprietary Direct Lithium Extraction (DLE) technology. Flagship projects include the South West Arkansas (SWA) Project with a binding commercial offtake agreement with Trafigura, and the LANXESS South Plant — expected to be the first US-based DLE lithium production facility built in six decades. CEO David Park (former President of Koch Strategic Platforms) leads the company toward first commercial production.</w:t>
      </w:r>
    </w:p>
    <w:p>
      <w:r>
        <w:rPr>
          <w:rFonts w:ascii="Calibri" w:hAnsi="Calibri"/>
          <w:b/>
          <w:color w:val="6E8450"/>
          <w:sz w:val="18"/>
        </w:rPr>
        <w:t>100 Employees · https://www.standardlithium.com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Standard Lithium has successfully developed proprietary Direct Lithium Extraction technology and completed a Definitive Feasibility Study for the LANXESS South Plant — positioning to become the first US-based DLE lithium production project in six decades, representing a significant technological achievement and potential business model transformation from explorer to producer [1][5]. AI Deployment (0/2): No AI deployment. Standard Lithium operates in physical resource extraction using chemical engineering and DLE technology, not artificial intelligence applications. Market Share (0/2): Pre-production with no current market share. While positioned as a potential first-mover in US DLE lithium production, the company generates less than $1M in revenue and has not yet produced commercial lithium [1][3]. Product Pipeline (2/2): Strong pipeline with specific milestones: Phase 1A first production expected 2026 at LANXESS South Plant, SWA Project with signed binding commercial offtake from Trafigura covering 40%+ of targeted commitments, and Definitive Feasibility Study filed demonstrating economic viability [1]. R&amp;D Intensity (1/1): Significant capital deployed into DLE technology development over 5+ years before any revenue, representing substantial R&amp;D investment relative to the pre-revenue stage. Koch backing via David Park signals institutional confidence in the technology platform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Standard Lithium's stated purpose of becoming a leading domestic supplier of sustainably-produced lithium addresses the strategic need for US lithium independence and connects to the broader clean energy transition [5]. However, the mission is fundamentally a business opportunity statement rather than a transformative cause — 'we produce lithium sustainably' does not articulate a future state beyond the company's commercial interests. Community Impact (0/2): No evidence of charitable programs or community investment. Operations in Arkansas may provide local employment but no specific community initiatives have been identified. Employee Retention (0/2): No Glassdoor reviews found for Standard Lithium. As a pre-revenue company with approximately 100 employees and a new CEO (David Park, September 2024), retention data is unavailable. Insider Buying (0/2): No specific data on net insider buying identified. CEO David Park was recruited from Koch Strategic Platforms in September 2024, and new VP appointments in June 2025 suggest organizational building, but no insider purchase data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on limited available metrics as a pre-revenue development-stage company. The primary strength is a pristine balance sheet: $0 total debt against $362.5M total equity and $391M total assets, providing sufficient cash runway for 3+ years [4]. D/E of 0% is well above target. However, all profitability metrics are at floor: ROE of -16.63% (below the 0% floor), zero profit margin (no revenue), and revenue growth metrics are inapplicable for a pre-revenue company [3][4]. Forward P/E and PEG cannot be calculated. The infrastructure score reflects a strong balance sheet offset by complete absence of profitability — a typical profile for a well-funded development-stage mining company that has not yet generated commercial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Standard Lithium operates with a clear commercial strategy but limited evidence of infinite game thinking in the Sinek sense. The company has maintained consistent focus on DLE lithium production for 5+ years and invested through market volatility, which shows some long-term orientation. However, the Just Cause is essentially 'produce lithium profitably' rather than a transformative vision, and the company is too young and pre-revenue to have demonstrated the hallmarks of truly infinite thinking — surviving crises, building enduring culture, or making courageous pivots in service of a higher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Standard Lithium's vision of domestic, sustainable lithium production has strategic importance and connects to energy independence and the clean energy transition [5]. However, it is fundamentally a market opportunity narrative — 'first US DLE production in six decades' is a competitive positioning statement, not a Just Cause that people would sacrifice to advance. Sinek would see a clear strategy with some higher-purpose framing but not a cause that transcends the commercial enterprise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Standard Lithium has maintained organizational stability through leadership transitions — David Park's appointment from Koch Strategic Platforms (September 2024) was described as a 'leadership transition for strategic growth,' and new VP appointments in June 2025 suggest planned organizational building rather than chaotic turnover [2]. The small team size (~100 employees) and technical mission likely create tighter collaboration. However, no specific cultural data (Glassdoor, employee sentiment, retention rates) is available to confirm trust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 mindset in public communications. Standard Lithium positions itself as a pioneering first-mover (first US DLE production in decades) rather than framing competitors (Albemarle, SQM, Livent) as worthy rivals whose strengths motivate improvement [5]. The competitive narrative is about Standard Lithium's unique positioning, not about learning from others' excellence.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Standard Lithium has maintained a consistent strategic focus on DLE lithium production since founding and has not faced a scenario requiring transformative reinvention. The company is pre-revenue and has not yet produced commercial lithium, so it has not been tested by the kind of existential strategic choice that demonstrates flexibility [1]. The single-technology, single-resource focus may eventually require adaptation if DLE economics prove challenging at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Standard Lithium has invested steadily in DLE technology development for 5+ years without generating revenue, maintaining commitment through lithium price volatility and the broader cleantech investor sentiment cycle [1][6]. The recruitment of David Park from Koch Strategic Platforms and signing of a binding offtake with Trafigura represent long-term capability building. However, with $362.5M in equity and zero debt, these investments carry limited relative financial risk compared to companies making truly painful trade-offs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Standard Lithium's bull case rests on first-mover advantage in US domestic DLE lithium production at a time of surging demand from EVs, battery storage, and AI data centers. The Definitive Feasibility Study for the LANXESS South Plant positions Phase 1A as potentially the first US DLE project in six decades, with first production expected in 2026 [1]. A binding commercial offtake with Trafigura covering 40%+ of targeted commitments de-risks revenue, and the pristine balance sheet ($362.5M equity, $0 debt, 3+ years cash runway) eliminates near-term dilution risk [1][4]. CEO David Park's Koch Strategic Platforms background brings large-scale industrial project execution credibility. At $2.56/share ($1B market cap) with revenue forecast to grow 86.9% per annum once production begins, the risk/reward is compelling for patient investors [3][6].</w:t>
      </w:r>
    </w:p>
    <w:p>
      <w:pPr>
        <w:spacing w:after="120"/>
      </w:pPr>
      <w:r>
        <w:rPr>
          <w:rFonts w:ascii="Calibri" w:hAnsi="Calibri"/>
          <w:b w:val="0"/>
          <w:color w:val="3A4A28"/>
          <w:sz w:val="20"/>
        </w:rPr>
        <w:t>The bear case centers on execution risk and unproven economics at commercial scale. Standard Lithium has never produced lithium commercially — the DLE technology works at demonstration scale but has not been validated at full production volumes, and Phase 1A timelines have been pushed before [1]. The $1B market cap prices in significant success despite $0 current revenue and ROE of -16.63% [3]. Lithium spot prices remain volatile and a prolonged downturn could impair project economics and delay investment decisions. The company competes for capital and offtake commitments against larger, better-funded lithium producers (Albemarle, SQM, Livent) that have decades of production experience [6]. The 4-analyst consensus buy rating with $5.52 target implies 115% upside, but analyst coverage of pre-revenue mining companies often overestimates timeline certainty. If Phase 1A production is delayed beyond 2026, the stock could face further pressure below the $2.56 current level.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1A first commercial lithium production at LANXESS South Plant expected in 2026 would validate DLE technology at commercial scale and initiate revenue generation — the most significant de-risking event in the company's history [1]</w:t>
      </w:r>
    </w:p>
    <w:p>
      <w:pPr>
        <w:spacing w:before="40" w:after="40"/>
        <w:ind w:left="283"/>
      </w:pPr>
      <w:r>
        <w:rPr>
          <w:rFonts w:ascii="Calibri" w:hAnsi="Calibri"/>
          <w:b/>
          <w:color w:val="4A6B25"/>
          <w:sz w:val="20"/>
        </w:rPr>
        <w:t xml:space="preserve">2. </w:t>
      </w:r>
      <w:r>
        <w:rPr>
          <w:rFonts w:ascii="Calibri" w:hAnsi="Calibri"/>
          <w:b w:val="0"/>
          <w:color w:val="3A4A28"/>
          <w:sz w:val="20"/>
        </w:rPr>
        <w:t>Binding Trafigura offtake covering 40%+ of SWA Project production provides revenue visibility and validation from a global commodity trading house, potentially attracting additional offtake commitments [1]</w:t>
      </w:r>
    </w:p>
    <w:p>
      <w:pPr>
        <w:spacing w:before="40" w:after="40"/>
        <w:ind w:left="283"/>
      </w:pPr>
      <w:r>
        <w:rPr>
          <w:rFonts w:ascii="Calibri" w:hAnsi="Calibri"/>
          <w:b/>
          <w:color w:val="4A6B25"/>
          <w:sz w:val="20"/>
        </w:rPr>
        <w:t xml:space="preserve">3. </w:t>
      </w:r>
      <w:r>
        <w:rPr>
          <w:rFonts w:ascii="Calibri" w:hAnsi="Calibri"/>
          <w:b w:val="0"/>
          <w:color w:val="3A4A28"/>
          <w:sz w:val="20"/>
        </w:rPr>
        <w:t>AI data center buildout and EV adoption are structural demand drivers for lithium — analysts forecast lithium demand growth supporting Standard Lithium's domestic US supply positioning as strategic under nearshoring and energy security themes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DLE technology has not been validated at commercial production scale — demonstration-to-production scale-up carries significant engineering, cost, and timeline risk that could delay or impair Phase 1A economics [1]</w:t>
      </w:r>
    </w:p>
    <w:p>
      <w:pPr>
        <w:spacing w:before="40" w:after="40"/>
        <w:ind w:left="283"/>
      </w:pPr>
      <w:r>
        <w:rPr>
          <w:rFonts w:ascii="Calibri" w:hAnsi="Calibri"/>
          <w:b/>
          <w:color w:val="4A6B25"/>
          <w:sz w:val="20"/>
        </w:rPr>
        <w:t xml:space="preserve">2. </w:t>
      </w:r>
      <w:r>
        <w:rPr>
          <w:rFonts w:ascii="Calibri" w:hAnsi="Calibri"/>
          <w:b w:val="0"/>
          <w:color w:val="3A4A28"/>
          <w:sz w:val="20"/>
        </w:rPr>
        <w:t>Lithium spot price volatility could impair project economics: a sustained lithium price downturn below feasibility study assumptions would reduce margins and potentially make the SWA and South Plant projects uneconomic at current capital plans</w:t>
      </w:r>
    </w:p>
    <w:p>
      <w:pPr>
        <w:spacing w:before="40" w:after="40"/>
        <w:ind w:left="283"/>
      </w:pPr>
      <w:r>
        <w:rPr>
          <w:rFonts w:ascii="Calibri" w:hAnsi="Calibri"/>
          <w:b/>
          <w:color w:val="4A6B25"/>
          <w:sz w:val="20"/>
        </w:rPr>
        <w:t xml:space="preserve">3. </w:t>
      </w:r>
      <w:r>
        <w:rPr>
          <w:rFonts w:ascii="Calibri" w:hAnsi="Calibri"/>
          <w:b w:val="0"/>
          <w:color w:val="3A4A28"/>
          <w:sz w:val="20"/>
        </w:rPr>
        <w:t>$1B market cap on $0 revenue prices in significant execution success — any material delay to Phase 1A production, offtake renegotiation, or cost overrun could trigger substantial downside from the $2.56 level with no revenue floor to support valuation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Lithium extraction is a physical-world industrial process involving chemical engineering, brine processing, and physical plant operations that AI structurally cannot displace. Standard Lithium's DLE technology requires proprietary chemical processes, permitting, water rights, and physical infrastructure that no AI system can replicate or substitute [1][5]. Furthermore, AI actually increases demand for lithium — AI data center construction drives electricity consumption which drives battery storage demand, and AI-powered autonomous vehicles increase EV penetration. Analysts project robust lithium demand from both EV adoption and AI-driven energy storage needs [6]. The regulatory environment (permitting, environmental compliance) adds further insulation. AI Opportunity (0/1): No AI-related revenue. Standard Lithium's business is physical resource extraction and chemical processing, with no AI products or services offered.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Standard Lithium Definitive Feasibility Study and Trafigura Offtake Agreement — SEC 6-K Filings, 2026</w:t>
      </w:r>
    </w:p>
    <w:p>
      <w:pPr>
        <w:spacing w:before="20" w:after="20"/>
        <w:ind w:left="170"/>
      </w:pPr>
      <w:r>
        <w:rPr>
          <w:rFonts w:ascii="Calibri" w:hAnsi="Calibri"/>
          <w:b/>
          <w:color w:val="4A6B25"/>
          <w:sz w:val="15"/>
        </w:rPr>
        <w:t xml:space="preserve">2. </w:t>
      </w:r>
      <w:r>
        <w:rPr>
          <w:rFonts w:ascii="Calibri" w:hAnsi="Calibri"/>
          <w:b w:val="0"/>
          <w:color w:val="3A4A28"/>
          <w:sz w:val="17"/>
        </w:rPr>
        <w:t>Standard Lithium Leadership Transition Announcement (David Park CEO, September 2024) — StockTitan / Yahoo Finance</w:t>
      </w:r>
    </w:p>
    <w:p>
      <w:pPr>
        <w:spacing w:before="20" w:after="20"/>
        <w:ind w:left="170"/>
      </w:pPr>
      <w:r>
        <w:rPr>
          <w:rFonts w:ascii="Calibri" w:hAnsi="Calibri"/>
          <w:b/>
          <w:color w:val="4A6B25"/>
          <w:sz w:val="15"/>
        </w:rPr>
        <w:t xml:space="preserve">3. </w:t>
      </w:r>
      <w:r>
        <w:rPr>
          <w:rFonts w:ascii="Calibri" w:hAnsi="Calibri"/>
          <w:b w:val="0"/>
          <w:color w:val="3A4A28"/>
          <w:sz w:val="17"/>
        </w:rPr>
        <w:t>StockAnalysis.com — SLI Key Statistics, Price ($2.56), Volume, and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Standard Lithium Balance Sheet Analysis ($362.5M equity, $0 debt, 3+ years runway), 2026</w:t>
      </w:r>
    </w:p>
    <w:p>
      <w:pPr>
        <w:spacing w:before="20" w:after="20"/>
        <w:ind w:left="170"/>
      </w:pPr>
      <w:r>
        <w:rPr>
          <w:rFonts w:ascii="Calibri" w:hAnsi="Calibri"/>
          <w:b/>
          <w:color w:val="4A6B25"/>
          <w:sz w:val="15"/>
        </w:rPr>
        <w:t xml:space="preserve">5. </w:t>
      </w:r>
      <w:r>
        <w:rPr>
          <w:rFonts w:ascii="Calibri" w:hAnsi="Calibri"/>
          <w:b w:val="0"/>
          <w:color w:val="3A4A28"/>
          <w:sz w:val="17"/>
        </w:rPr>
        <w:t>Standard Lithium Company Website — standardlithium.com, Leadership and Project Overview,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Seeking Alpha — 'Standard Lithium: The Investment Case Just Keeps Getting Stronger'; Simply Wall St Future Growth Forecast (86.9% revenue growth),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