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SMFG</w:t>
      </w:r>
      <w:r>
        <w:rPr>
          <w:rFonts w:ascii="Calibri" w:hAnsi="Calibri"/>
          <w:b/>
          <w:color w:val="1A2010"/>
          <w:sz w:val="40"/>
        </w:rPr>
        <w:t xml:space="preserve">  Sumitomo Mitsui Financial Group, Inc.</w:t>
      </w:r>
    </w:p>
    <w:p>
      <w:pPr>
        <w:spacing w:after="120"/>
      </w:pPr>
      <w:r>
        <w:rPr>
          <w:rFonts w:ascii="Calibri" w:hAnsi="Calibri"/>
          <w:b/>
          <w:color w:val="6E8450"/>
          <w:sz w:val="18"/>
        </w:rPr>
        <w:t>GROWTH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Banks - Diversified · NYSE · Japan</w:t>
      </w:r>
    </w:p>
    <w:p>
      <w:pPr>
        <w:spacing w:after="80"/>
      </w:pPr>
      <w:r>
        <w:rPr>
          <w:rFonts w:ascii="Calibri" w:hAnsi="Calibri"/>
          <w:b w:val="0"/>
          <w:color w:val="3A4A28"/>
          <w:sz w:val="20"/>
        </w:rPr>
        <w:t>Sumitomo Mitsui Financial Group is Japan's second-largest banking group by assets, providing commercial banking, leasing, securities, and consumer finance services globally. With roots dating back to the Sumitomo family (1590) and Mitsui family (1683), SMFG operates through Sumitomo Mitsui Banking Corporation, SMBC Nikko Securities, and other subsidiaries.</w:t>
      </w:r>
    </w:p>
    <w:p>
      <w:r>
        <w:rPr>
          <w:rFonts w:ascii="Calibri" w:hAnsi="Calibri"/>
          <w:b/>
          <w:color w:val="6E8450"/>
          <w:sz w:val="18"/>
        </w:rPr>
        <w:t>123,000 Employees · https://www.smfg.co.jp/english/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 was a notable early adopter of AI in Japanese banking, deploying IBM Watson to support call center operations as far back as 2014, and has since developed an 'AI-CEO' tool at Sumitomo Mitsui Banking Corporation designed to assist in management decision-making [2]. The company's strategy to become an 'AI-leading Financial Institution' represents clear institutional ambition, though the practical revenue impact remains difficult to quantify [2]. As Japan's second-largest bank, SMFG holds a meaningful market position but is not defining a new category. Product pipeline includes continued digital banking expansion and AI integration across customer-facing and back-office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Group CEO Tatsuru Nakajima has urged employees to 'Break the Mold' since 2019, fostering a culture that encourages risk-taking and new business creation without being bound by precedent — unusual for a traditional Japanese megabank [2]. The company's heritage spans over 400 years (Sumitomo 1590, Mitsui 1683), providing deep institutional purpose around long-term service to society and customers [2]. However, the departure from the Net Zero Banking Alliance under political pressure raises questions about leadership conviction on stated ESG commitments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SMFG's financial profile has strengthened significantly with Bank of Japan rate normalization: ordinary profit surged 34% in FY2026 (ended March 2026), EPS grew from ¥390 to ¥412, and profit margins exceed 26% [1]. The forward PE of 14.7x against 34% profit growth implies a PEG below 1.0, offering substantial value. The stock's near-doubling from $14.40 to $26.50 over 52 weeks reflects improving fundamentals [5]. The high debt-to-equity inherent in banking (deposits are liabilities) penalizes the D/E metric, but SMFG's capital ratios are well above regulatory minimums.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SMFG's institutional DNA spans over 400 years through the Sumitomo and Mitsui houses, representing one of the world's longest continuously operating business lineages. CEO Nakajima's 'Break the Mold' culture push represents genuine infinite-game thinking, though the exit from NZBA under political pressure and conservative Japanese corporate governance norms reflect finite-game pragmatism.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roots in the Sumitomo family's 1590 copper trading business and the Mitsui family's 1683 merchant banking, SMFG carries a multi-century tradition of serving society through financial intermediation — a just cause validated by over 400 years of institutional survival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Japanese lifetime employment tradition creates deep organizational loyalty among 123,000 employees, and Nakajima's encouragement to 'Break the Mold' suggests effort to evolve beyond hierarchical rigidity toward more empowered teams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 competes domestically against MUFG (larger) and Mizuho, and internationally against global banks. The Japanese megabank competition drives continuous improvement in efficiency and digital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SMFG has adapted across centuries from family merchant banking to modern financial conglomerate, and is now pivoting toward AI-first operations and international expansion. The 2001 merger creating SMFG itself was an act of existential flexibility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the 'AI-CEO' initiative and culture reform show ambition, SMFG's exit from the Net Zero Banking Alliance under U.S. political pressure — while maintaining that its climate commitments are unchanged — suggests pragmatism over principled conviction when facing external pressure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Sumitomo Mitsui Financial Group is a direct beneficiary of the Bank of Japan's historic rate normalization cycle, with ordinary profit surging 34% in FY2026 as net interest income expands from higher domestic rates. The stock's near-doubling over 52 weeks reflects this structural tailwind, and the forward PE of 14.7x against double-digit profit growth suggests further upside if the BOJ continues tightening.</w:t>
      </w:r>
    </w:p>
    <w:p>
      <w:pPr>
        <w:spacing w:after="120"/>
      </w:pPr>
      <w:r>
        <w:rPr>
          <w:rFonts w:ascii="Calibri" w:hAnsi="Calibri"/>
          <w:b w:val="0"/>
          <w:color w:val="3A4A28"/>
          <w:sz w:val="20"/>
        </w:rPr>
        <w:t>However, SMFG's overall IOWN score of 58 reflects moderate innovation and inspiration scores typical of large Japanese financial institutions, combined with a D/E metric that mechanically penalizes the banking business model. The stock is near its 52-week high ($26.67), limiting near-term upside without further rate hikes. A WATCH rating acknowledges the strong earnings momentum while noting that the easy gains from rate normalization may be largely priced 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Bank of Japan rate normalization expanding net interest margins across domestic lending portfolio</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reducing cost-to-income ratio as 'AI-CEO' and automation tools scale across 123,000 employees</w:t>
      </w:r>
    </w:p>
    <w:p>
      <w:pPr>
        <w:spacing w:before="40" w:after="40"/>
        <w:ind w:left="283"/>
      </w:pPr>
      <w:r>
        <w:rPr>
          <w:rFonts w:ascii="Calibri" w:hAnsi="Calibri"/>
          <w:b/>
          <w:color w:val="4A6B25"/>
          <w:sz w:val="20"/>
        </w:rPr>
        <w:t xml:space="preserve">3. </w:t>
      </w:r>
      <w:r>
        <w:rPr>
          <w:rFonts w:ascii="Calibri" w:hAnsi="Calibri"/>
          <w:b w:val="0"/>
          <w:color w:val="3A4A28"/>
          <w:sz w:val="20"/>
        </w:rPr>
        <w:t>Shareholder returns acceleration through higher dividend payout ratios and share buybacks as capital buffers exceed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Bank of Japan rate hikes slower than expected or reversed, compressing the net interest income growth narrative</w:t>
      </w:r>
    </w:p>
    <w:p>
      <w:pPr>
        <w:spacing w:before="40" w:after="40"/>
        <w:ind w:left="283"/>
      </w:pPr>
      <w:r>
        <w:rPr>
          <w:rFonts w:ascii="Calibri" w:hAnsi="Calibri"/>
          <w:b/>
          <w:color w:val="4A6B25"/>
          <w:sz w:val="20"/>
        </w:rPr>
        <w:t xml:space="preserve">2. </w:t>
      </w:r>
      <w:r>
        <w:rPr>
          <w:rFonts w:ascii="Calibri" w:hAnsi="Calibri"/>
          <w:b w:val="0"/>
          <w:color w:val="3A4A28"/>
          <w:sz w:val="20"/>
        </w:rPr>
        <w:t>Japanese economic slowdown increasing credit losses across domestic corporate and consumer lending portfolios</w:t>
      </w:r>
    </w:p>
    <w:p>
      <w:pPr>
        <w:spacing w:before="40" w:after="40"/>
        <w:ind w:left="283"/>
      </w:pPr>
      <w:r>
        <w:rPr>
          <w:rFonts w:ascii="Calibri" w:hAnsi="Calibri"/>
          <w:b/>
          <w:color w:val="4A6B25"/>
          <w:sz w:val="20"/>
        </w:rPr>
        <w:t xml:space="preserve">3. </w:t>
      </w:r>
      <w:r>
        <w:rPr>
          <w:rFonts w:ascii="Calibri" w:hAnsi="Calibri"/>
          <w:b w:val="0"/>
          <w:color w:val="3A4A28"/>
          <w:sz w:val="20"/>
        </w:rPr>
        <w:t>Yen appreciation reducing the USD value of SMFG's earnings for ADR holders, unwinding currency-driven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Japanese megabanks benefit from heavy regulation, deep corporate keiretsu relationships, and physical branch networks that create substantial barriers to fintech disruption [2]. SMFG's 'AI-CEO' deployment and decade-long AI adoption history (Watson since 2014) position it to capture AI-driven efficiency gains in back-office processing, fraud detection, and customer service [2]. The primary risk is that fintech platforms (PayPay, LINE Financial) erode retail banking margins, but SMFG's wholesale and international banking operations remain largely insulated from consumer fintech competition.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'Sumitomo Mitsui boosts FY2026 ordinary profit 34% on domestic growth', SEC Form 6-K, 2026</w:t>
      </w:r>
    </w:p>
    <w:p>
      <w:pPr>
        <w:spacing w:before="20" w:after="20"/>
        <w:ind w:left="170"/>
      </w:pPr>
      <w:r>
        <w:rPr>
          <w:rFonts w:ascii="Calibri" w:hAnsi="Calibri"/>
          <w:b/>
          <w:color w:val="4A6B25"/>
          <w:sz w:val="15"/>
        </w:rPr>
        <w:t xml:space="preserve">2. </w:t>
      </w:r>
      <w:r>
        <w:rPr>
          <w:rFonts w:ascii="Calibri" w:hAnsi="Calibri"/>
          <w:b w:val="0"/>
          <w:color w:val="3A4A28"/>
          <w:sz w:val="17"/>
        </w:rPr>
        <w:t>Klover.ai — 'Sumitomo Mitsui Financial Group AI Strategy Analysis', 2026; Fintech Observer — 'SMBC Accelerates AI with AI-CEO', 2026</w:t>
      </w:r>
    </w:p>
    <w:p>
      <w:pPr>
        <w:spacing w:before="20" w:after="20"/>
        <w:ind w:left="170"/>
      </w:pPr>
      <w:r>
        <w:rPr>
          <w:rFonts w:ascii="Calibri" w:hAnsi="Calibri"/>
          <w:b/>
          <w:color w:val="4A6B25"/>
          <w:sz w:val="15"/>
        </w:rPr>
        <w:t xml:space="preserve">3. </w:t>
      </w:r>
      <w:r>
        <w:rPr>
          <w:rFonts w:ascii="Calibri" w:hAnsi="Calibri"/>
          <w:b w:val="0"/>
          <w:color w:val="3A4A28"/>
          <w:sz w:val="17"/>
        </w:rPr>
        <w:t>ESG Today — 'Sumitomo Mitsui Becomes First Japanese Bank to Exit Net Zero Banking Alliance', 2025</w:t>
      </w:r>
    </w:p>
    <w:p>
      <w:pPr>
        <w:spacing w:before="20" w:after="20"/>
        <w:ind w:left="170"/>
      </w:pPr>
      <w:r>
        <w:rPr>
          <w:rFonts w:ascii="Calibri" w:hAnsi="Calibri"/>
          <w:b/>
          <w:color w:val="4A6B25"/>
          <w:sz w:val="15"/>
        </w:rPr>
        <w:t xml:space="preserve">4. </w:t>
      </w:r>
      <w:r>
        <w:rPr>
          <w:rFonts w:ascii="Calibri" w:hAnsi="Calibri"/>
          <w:b w:val="0"/>
          <w:color w:val="3A4A28"/>
          <w:sz w:val="17"/>
        </w:rPr>
        <w:t>Business &amp; Human Rights Resource Centre — 'SMFG announces non-involvement in EACOP',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SMFG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