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SMMT</w:t>
      </w:r>
      <w:r>
        <w:rPr>
          <w:rFonts w:ascii="Calibri" w:hAnsi="Calibri"/>
          <w:b/>
          <w:color w:val="1A2010"/>
          <w:sz w:val="40"/>
        </w:rPr>
        <w:t xml:space="preserve">  Summit Therapeutics, Inc.</w:t>
      </w:r>
    </w:p>
    <w:p>
      <w:pPr>
        <w:spacing w:after="120"/>
      </w:pPr>
      <w:r>
        <w:rPr>
          <w:rFonts w:ascii="Calibri" w:hAnsi="Calibri"/>
          <w:b/>
          <w:color w:val="6E8450"/>
          <w:sz w:val="18"/>
        </w:rPr>
        <w:t>GROWTH SLEEVE · 2026-07-12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Summit Therapeutics is a late-stage oncology biotech developing ivonescimab, a first-in-class PD-1/VEGF bispecific antibody in-licensed from China's Akeso, Inc. in 2023. Ivonescimab previously beat Merck's Keytruda head-to-head in a Chinese NSCLC trial. Summit has filed the first BLA in the US for EGFR-mutated NSCLC with a PDUFA action date of November 14, 2026. Over 4,000 patients treated in clinical studies globally and 70,000+ commercially in China.</w:t>
      </w:r>
    </w:p>
    <w:p>
      <w:r>
        <w:rPr>
          <w:rFonts w:ascii="Calibri" w:hAnsi="Calibri"/>
          <w:b/>
          <w:color w:val="6E8450"/>
          <w:sz w:val="18"/>
        </w:rPr>
        <w:t>250 Employees · https://www.smmttx.com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Summit executed a transformative pivot from antibiotics (C. difficile) to oncology by in-licensing ivonescimab from Akeso in January 2023, fundamentally repositioning the company as an oncology-focused biotech [1]. Over 4,000 patients treated in clinical studies globally and 70,000+ commercially in China via Akeso [2]. The BLA filing for EGFR-mutated NSCLC marks a major execution milestone. AI Deployment (0/2): No AI deployment or AI-powered products evident in Summit's pipeline or operations [5]. Market Share (0/2): Pre-commercial company with no U.S. marketed products; ivonescimab would be first-in-class bispecific PD-1/VEGF if approved, but no market share yet [1]. Product Pipeline (2/2): Robust late-stage pipeline with specific FDA timelines — BLA accepted with PDUFA date of November 14, 2026 for ivonescimab in EGFR-mutated NSCLC post-TKI; Phase III HARMONi-GI3 trial initiated in CRC Q4 2025; ASCO 2026 data showed overall survival benefits in squamous NSCLC and strong objective responses in first-line metastatic CRC [2][4]. R&amp;D Intensity (1/1): Essentially 100% of operating expenditure is directed toward clinical development, well above biotech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Summit articulates core values of integrity, passion for excellence, purposeful urgency, collaboration, and commitment to people, with a focus on developing innovative cancer treatments [5]. The mission is clear but not deeply distinctive or validated by decades of execution. Community Impact (0/2): No specific evidence of charitable giving, foundation programs, or community investment beyond the inherent social value of developing cancer therapeutics [5]. Employee Retention (1/2): Summit is Great Place To Work certified, suggesting positive workplace culture, though specific tenure or turnover data is not publicly available for a company of this size [5]. Insider Buying (2/2): Exceptional insider conviction — Co-CEOs Maky Zanganeh and Robert Duggan each purchased 3.81 million shares valued at approximately $50 million each in 2026; CFO Manmeet Soni bought 50,000 shares at ~$14.45; 8 insider buys and 0 sells in the past 12 months; insiders own 79% of the company worth approximately $8 billion [3][6].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Summit is a pre-revenue clinical-stage biotech with zero commercial revenue and negative earnings [1]. The sole financial strength is balance sheet positioning — $598.7 million in cash and short-term investments against only $20 million in debt (D/E of 4%) as of March 31, 2026 [1]. However, the company is burning cash at a significant rate and has acknowledged less than one year of cash runway without additional capital raises, creating dilution risk. ROE and profit margins are deeply negative, scoring 0 on those components. Forward P/E, PEG, revenue growth, and dividend metrics are all inapplicable for a pre-revenue biotech and excluded from calculation. Of available metrics, only D/E scores at target (1.0); ROE (0.0) and profit margin (0.0) drag the weighted average to 3/10. Liquidity check passes: avg daily volume of ~4.3M shares x $15.26 = ~$65.6M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Summit under the Duggan-Zanganeh leadership duo shows meaningful elements of infinite game thinking — the bold strategic pivot from antibiotics to oncology, massive personal financial commitment (~$100M combined in 2026 alone), and concentrated bet on ivonescimab demonstrate conviction beyond quarterly thinking. However, the company is too young in its current oncology-focused form to have been tested through multiple market cycles, and single-asset concentration creates an inherently binary outcome that limits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Summit's cause — bringing a potentially transformative first-in-class cancer treatment to patients globally — is genuine and connects the company's work to something larger than profit [5]. The ivonescimab program targets significant unmet medical needs in NSCLC and CRC where existing treatments fall short. Leadership clearly references the patient impact mission in strategic communications. However, the company has not existed in its current oncology-focused form long enough to validate this cause through multiple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Summit's Great Place To Work certification indicates a positive workplace environment [5]. The co-CEO structure between Duggan (business/investment expertise) and Zanganeh (scientific/operational expertise) suggests collaborative leadership. The small team size (~250 employees) facilitates closer management-employee relationships. However, governance concerns around co-CEO compensation and related-party transactions with Akeso could erode trust if unresolved.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Summit's competitive positioning focuses on ivonescimab's clinical superiority over Merck's Keytruda with head-to-head data — framing is more 'beat the incumbent' than learning-oriented [2]. No specific evidence of management commentary acknowledging competitors' strengths as motivation for self-improvement or referencing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Summit demonstrated significant strategic flexibility by pivoting entirely from its legacy antibiotics business (C. difficile focus) to oncology through the Akeso ivonescimab in-licensing deal in January 2023 [4][5]. This fully redefined the company's asset base, identity, and market opportunity. However, the pivot was driven partly by the stagnation of the antibiotics pipeline and the attractiveness of the ivonescimab opportunity rather than a deeply held Just Cause demanding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co-CEOs demonstrated remarkable personal financial conviction — Duggan and Zanganeh each invested approximately $50 million in SMMT shares in 2026, and insiders collectively own 79% of the company [3][6]. Concentrating the entire company's resources on a single drug candidate (ivonescimab) with $500M+ committed to Akeso is a courageous all-in bet. However, a Delaware Chancery lawsuit investigating related-party transactions raises questions about whether some capital allocation decisions were principled or self-interested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Summit Therapeutics is a high-conviction binary bet on ivonescimab, a first-in-class bispecific PD-1/VEGF antibody with FDA BLA accepted and PDUFA date of November 14, 2026 for EGFR-mutated NSCLC [4]. ASCO 2026 data demonstrated overall survival benefits in squamous NSCLC and strong objective response rates in first-line metastatic CRC, expanding the addressable market beyond the initial indication [2]. Over 70,000 patients have been treated commercially in China via Akeso and 4,000+ in clinical studies globally, providing substantial real-world evidence supporting efficacy. The $12 billion market cap is supported by extraordinary insider conviction — co-CEOs invested ~$100 million combined in 2026 shares and insiders own 79% of equity [3][6]. CEO Bob Duggan's track record at Pharmacyclics ($21B AbbVie sale) adds execution credibility.</w:t>
      </w:r>
    </w:p>
    <w:p>
      <w:pPr>
        <w:spacing w:after="120"/>
      </w:pPr>
      <w:r>
        <w:rPr>
          <w:rFonts w:ascii="Calibri" w:hAnsi="Calibri"/>
          <w:b w:val="0"/>
          <w:color w:val="3A4A28"/>
          <w:sz w:val="20"/>
        </w:rPr>
        <w:t>The bear case centers on binary FDA risk and capital adequacy. With $598.7 million in cash and less than one year of runway at current burn rates, Summit will likely need to raise additional capital before or after the PDUFA decision, creating dilution risk for existing shareholders [1]. A Complete Response Letter from the FDA would be devastating given the $12 billion market cap built almost entirely on ivonescimab expectations. The competitive landscape is intensifying — Merck's Keytruda franchise generated $25 billion+ in 2025 revenue and Merck is actively developing its own bispecific combinations. Summit has no commercial infrastructure and would need to build or partner for U.S. launch, adding execution risk and cost. A Delaware Chancery lawsuit investigating related-party transactions with Akeso creates governance overhang. Pre-revenue status with negative earnings makes traditional valuation metrics inapplicable, leaving investors reliant on probability-weighted peak sales estimates.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target action date of November 14, 2026 for ivonescimab in EGFR-mutated NSCLC — approval would validate the bispecific approach and unlock commercial revenue</w:t>
      </w:r>
    </w:p>
    <w:p>
      <w:pPr>
        <w:spacing w:before="40" w:after="40"/>
        <w:ind w:left="283"/>
      </w:pPr>
      <w:r>
        <w:rPr>
          <w:rFonts w:ascii="Calibri" w:hAnsi="Calibri"/>
          <w:b/>
          <w:color w:val="4A6B25"/>
          <w:sz w:val="20"/>
        </w:rPr>
        <w:t xml:space="preserve">2. </w:t>
      </w:r>
      <w:r>
        <w:rPr>
          <w:rFonts w:ascii="Calibri" w:hAnsi="Calibri"/>
          <w:b w:val="0"/>
          <w:color w:val="3A4A28"/>
          <w:sz w:val="20"/>
        </w:rPr>
        <w:t>Phase III HARMONi trial readouts across additional indications including squamous NSCLC and CRC, expanding the total addressable market and de-risking single-indication dependency</w:t>
      </w:r>
    </w:p>
    <w:p>
      <w:pPr>
        <w:spacing w:before="40" w:after="40"/>
        <w:ind w:left="283"/>
      </w:pPr>
      <w:r>
        <w:rPr>
          <w:rFonts w:ascii="Calibri" w:hAnsi="Calibri"/>
          <w:b/>
          <w:color w:val="4A6B25"/>
          <w:sz w:val="20"/>
        </w:rPr>
        <w:t xml:space="preserve">3. </w:t>
      </w:r>
      <w:r>
        <w:rPr>
          <w:rFonts w:ascii="Calibri" w:hAnsi="Calibri"/>
          <w:b w:val="0"/>
          <w:color w:val="3A4A28"/>
          <w:sz w:val="20"/>
        </w:rPr>
        <w:t>Potential commercial partnership or licensing deal for U.S. launch that would reduce capital requirements, provide commercialization infrastructure, and validate the asset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approval risk — a Complete Response Letter on the November 2026 PDUFA date would collapse the $12 billion market cap given single-asset pipeline dependency</w:t>
      </w:r>
    </w:p>
    <w:p>
      <w:pPr>
        <w:spacing w:before="40" w:after="40"/>
        <w:ind w:left="283"/>
      </w:pPr>
      <w:r>
        <w:rPr>
          <w:rFonts w:ascii="Calibri" w:hAnsi="Calibri"/>
          <w:b/>
          <w:color w:val="4A6B25"/>
          <w:sz w:val="20"/>
        </w:rPr>
        <w:t xml:space="preserve">2. </w:t>
      </w:r>
      <w:r>
        <w:rPr>
          <w:rFonts w:ascii="Calibri" w:hAnsi="Calibri"/>
          <w:b w:val="0"/>
          <w:color w:val="3A4A28"/>
          <w:sz w:val="20"/>
        </w:rPr>
        <w:t>Cash runway of less than 12 months at current burn rates necessitates additional capital raises, likely through dilutive equity offerings, before commercial revenue materializes</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Merck's Keytruda franchise and emerging bispecific/ADC combinations from larger pharma companies with established oncology commercial infrastructure and deeper development pipelines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Summit's core business — developing and commercializing biologic drugs through FDA-regulated clinical trials — is structurally protected from AI disruption. The ivonescimab development program requires physical clinical trials with thousands of patients, complex biologics manufacturing, and navigating FDA regulatory pathways that AI cannot substitute [2][4]. The drug itself is a bispecific antibody requiring sophisticated manufacturing processes and patent-protected IP from the Akeso partnership. While AI tools are increasingly used in drug discovery and clinical trial optimization, they augment rather than replace the clinical development and regulatory approval process. AI Opportunity (0/1): No evidence of AI-driven revenue or AI-powered products; Summit's operations are traditional clinical-stage pharma without meaningful AI revenue contribution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Summit Therapeutics Q1 2026 Financial Results — $598.7M cash, operational update,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Summit Therapeutics ASCO 2026 Ivonescimab Data — Phase II/III survival and response results in NSCLC and CRC, June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SMMT Key Statistics, Market Cap $12B, Avg Volume 4.3M, D/E 0.04,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FDA BLA Acceptance — PDUFA Date November 14, 2026 for ivonescimab in EGFR-mutated NSCLC, Summit Press Release 2026</w:t>
      </w:r>
    </w:p>
    <w:p>
      <w:pPr>
        <w:spacing w:before="20" w:after="20"/>
        <w:ind w:left="170"/>
      </w:pPr>
      <w:r>
        <w:rPr>
          <w:rFonts w:ascii="Calibri" w:hAnsi="Calibri"/>
          <w:b/>
          <w:color w:val="4A6B25"/>
          <w:sz w:val="15"/>
        </w:rPr>
        <w:t xml:space="preserve">5. </w:t>
      </w:r>
      <w:r>
        <w:rPr>
          <w:rFonts w:ascii="Calibri" w:hAnsi="Calibri"/>
          <w:b w:val="0"/>
          <w:color w:val="3A4A28"/>
          <w:sz w:val="17"/>
        </w:rPr>
        <w:t>Summit Therapeutics Corporate Website — Leadership, Mission, Culture, Great Place To Work Certification, smmttx.com,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SEC Form 4 Insider Trading Filings — Duggan and Zanganeh 3.81M shares each (~$50M), Soni 50K shares,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