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SNDX</w:t>
      </w:r>
      <w:r>
        <w:rPr>
          <w:rFonts w:ascii="Calibri" w:hAnsi="Calibri"/>
          <w:b/>
          <w:color w:val="1A2010"/>
          <w:sz w:val="40"/>
        </w:rPr>
        <w:t xml:space="preserve">  Syndax Pharmaceuticals, Inc.</w:t>
      </w:r>
    </w:p>
    <w:p>
      <w:pPr>
        <w:spacing w:after="120"/>
      </w:pPr>
      <w:r>
        <w:rPr>
          <w:rFonts w:ascii="Calibri" w:hAnsi="Calibri"/>
          <w:b/>
          <w:color w:val="6E8450"/>
          <w:sz w:val="18"/>
        </w:rPr>
        <w:t>GROWTH SLEEVE · 2026-08-02 · Inspire: 35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Syndax Pharmaceuticals is a commercial-stage biopharmaceutical company developing therapies for cancer treatment. Lead products include Revuforj (revumenib), a first-in-class menin inhibitor for relapsed or refractory acute leukemia with KMT2A rearrangements, and Niktimvo (axatilimab-csfr), a CSF-1 receptor blocking antibody for chronic graft-versus-host disease. Both products received FDA approval and launched commercially in 2024-2025, with Q1 2026 total revenue of $64.9M (up 224% YoY).</w:t>
      </w:r>
    </w:p>
    <w:p>
      <w:r>
        <w:rPr>
          <w:rFonts w:ascii="Calibri" w:hAnsi="Calibri"/>
          <w:b/>
          <w:color w:val="6E8450"/>
          <w:sz w:val="18"/>
        </w:rPr>
        <w:t>298 Employees · https://syndax.com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Syndax achieved a transformative milestone — transitioning from clinical-stage to commercial-stage by winning FDA approval for two drugs with novel mechanisms of action: Revuforj (first-in-class menin inhibitor) and Niktimvo (CSF-1 receptor blocker) [1]. Dual launches drove 224% revenue growth in Q1 2026 and 628% revenue growth in FY2025 ($172.35M from $23.68M). This represents genuine business model transformation from a cash-burning clinical company to a revenue-generating commercial enterprise. AI Deployment (0/2): No evidence of AI-powered products, AI-driven internal efficiencies, or quantified AI cost savings. Syndax operates as a traditional small-cap biotech focused on clinical development and early commercialization [2]. Market Share (1/2): Revuforj is the first approved menin inhibitor globally, holding a unique first-mover position in KMT2A-rearranged AML with prescriptions up 160% YoY in Q1 2026 [1]. However, the addressable market is niche (r/r KMT2A AML) and competition from Kura Oncology's ziftomenib is approaching. Product Pipeline (2/2): Expanding Revuforj into NPM1-mutated AML (prescriptions rising) and earlier-line leukemia settings. Pipeline expansion with clinical catalysts detailed for 2026-2027. Both approved drugs are being pursued in combination studies and label-broadening trials with specific timelines [1]. R&amp;D Intensity (1/1): Heavy R&amp;D investment relative to revenue — operating expenses far exceed revenue as the company invests in pipeline expansion and label-broadening trials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Syndax's purpose centers on developing innovative cancer therapies — 'advancing innovation and long-term value for patients' [2]. This is clear and identifies the disease area, but it is not distinctively different from the standard biotech mission statement. The purpose could be interchangeable with dozens of oncology companies. It reflects genuine intention but lacks the specificity and personal conviction that elevates a mission to a Just Cause. Community Impact (0/2): No specific charitable programs, foundation activities, or community investment initiatives were identified. The company is a small 298-employee biotech where philanthropic scale is limited. Employee Retention (0/2): No specific employee retention metrics, tenure data, or voluntary turnover information is publicly available. CEO transition from Morrison to Metzger in February 2022 was orderly (Morrison remained as President/Head of R&amp;D) [2]. Insider Buying (0/2): Net insider selling of $3.0M over the past 12 months. An insider filed to sell 32,375 shares in July 2026 via option exercise [5]. This is a negative signal — leadership is reducing personal exposure rather than buying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Q1 2026 revenue of $64.9M represents 224% YoY growth with Revuforj generating $48.9M (+144%) and Niktimvo contributing additional revenue [1]. D/E of 826.4% is far above the 300% floor (score 0.0), reflecting substantial debt accumulated during development [4]. ROE of -113.2% is deeply negative (score 0.0, 2x weight). Revenue growth YoY of 224% scores 1.0. Revenue growth 5yr CAGR estimated at ~60% scores 1.0 (2x weight) given the trajectory from minimal revenue to $172M+ annual run rate. Profit margin of -111.9% scores 0.0. Forward P/E and PEG excluded (negative forward earnings). Infrastructure scored on 5 available metrics: weighted sum 3.0 / max 7.0 = 4.3, rounds to 4. Gross margin of 96% is outstanding and suggests path to profitability as revenue scales against fixed operating costs [1]. Cash of $352.1M supports continued investment [1]. Liquidity floor cleared: 2.48M avg volume x $19.05 = $47.3M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Syndax demonstrates competent execution in the finite game of pharmaceutical commercialization — successfully launching two FDA-approved drugs and driving rapid revenue growth. However, the company lacks a distinctive Just Cause that transcends the standard biotech mission, leadership has not demonstrated purpose-driven sacrifice, and the organization is too young in its commercial life to have proven infinite-game qualities. Net insider selling suggests leadership views the current stock as exit opportunity rather than conviction investment.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Syndax's purpose — developing cancer therapies for underserved patient populations including KMT2A-rearranged AML and chronic GVHD — is genuine and connects to meaningful patient outcomes [1]. However, this cause is standard for oncology biotechs and does not meet Sinek's criteria for a Just Cause. It is not idealistic (drug development for profit is the explicit model), not resilient beyond the current product cycle, and has not been tested through decades of consistent execution. The company exists to commercialize drugs, not to advance a vision of a future that doesn't yet exist.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orderly CEO transition from Morrison to Metzger in 2022, with Morrison remaining as President/Head of R&amp;D, suggests a functional culture that handles leadership transitions without disruption [2]. At 298 employees managing two commercial launches simultaneously, the team operates under high-demand conditions that require trust. CEO Metzger received $7.09M in 2025 compensation. However, no specific employee satisfaction data, voluntary turnover rates, or cultural distinction metrics are publicly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Syndax competes against Kura Oncology's ziftomenib in the menin inhibitor space and multiple players in the GVHD treatment market, but no evidence was found of leadership framing competition as motivation for self-improvement or acknowledging competitors' strengths as learning opportunities [1]. The competitive language focuses on Revuforj's first-mover position and clinical differentiation rather than infinite-minded competitive awareness.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Syndax's transition from clinical-stage to commercial-stage is the expected lifecycle progression for a successful biotech — not a transformative reinvention driven by a Just Cause [1]. The company has not faced the kind of existential strategic test that this dimension evaluates. It has not abandoned a profitable core business, entered an entirely new market, or made a bet that redefined the company. The organization is too young in its commercial evolution to have demonstrated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Syndax pursued two novel, unvalidated mechanisms of action simultaneously — a first-in-class menin inhibitor and a CSF-1 receptor blocker — requiring conviction that these targets would work when the science was uncertain [1]. The CEO transition from Morrison to Metzger was handled thoughtfully with Morrison remaining as President/Head of R&amp;D, preserving scientific continuity [2]. However, net insider selling of $3.0M suggests leadership is taking money off the table rather than demonstrating personal conviction in the long-term story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Syndax is in the early innings of a promising dual-product commercial ramp. Q1 2026 total revenue of $64.9M (up 224% YoY) was driven by Revuforj at $48.9M (+144%) with prescriptions up 160% YoY, including accelerating uptake in NPM1-mutated AML beyond the initial KMT2A indication [1]. Both drugs were annualizing at approximately $200M combined as of Q1 2026, with the company citing a path toward profitability on existing cash. The 96% gross margin suggests powerful operating leverage as revenue scales — fixed commercialization costs are being spread across a rapidly growing revenue base. Cash of $352.1M supports pipeline expansion into combination therapies, earlier-line settings, and new indications across 2026-2027 clinical catalysts [1]. Analyst consensus of 'Strong Buy' with $39 price target implies ~90% upside from current $19.05 [4].</w:t>
      </w:r>
    </w:p>
    <w:p>
      <w:pPr>
        <w:spacing w:after="120"/>
      </w:pPr>
      <w:r>
        <w:rPr>
          <w:rFonts w:ascii="Calibri" w:hAnsi="Calibri"/>
          <w:b w:val="0"/>
          <w:color w:val="3A4A28"/>
          <w:sz w:val="20"/>
        </w:rPr>
        <w:t>The bear case centers on extreme financial distress metrics and competitive uncertainty. D/E of 826% and net margin of -112% reflect a balance sheet under heavy stress — net losses expanded as the company simultaneously funded two commercial launches, pipeline expansion, and a $400M+ annual operating cost base [4]. Q1 2026 revenue of $64.9M missed the $71.8M consensus estimate, suggesting the ramp may be slower than analysts projected [1]. Revuforj's current approval is limited to relapsed/refractory patients in a small niche market — expansion into earlier-line settings and NPM1-mutated AML is essential but uncertain. Kura Oncology's ziftomenib is advancing as a competitive menin inhibitor that could erode Revuforj's first-mover advantage. Net insider selling of $3.0M and a July 2026 officer sale suggest leadership skepticism about near-term upside [5]. At $1.9B market cap with no path to near-term GAAP profitability, the stock is priced for execution, and any clinical setback in label expansion could severely compress the multiple.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Revuforj revenue acceleration from expanding into NPM1-mutated AML (prescriptions up 160% YoY) and potential label expansion into earlier-line acute leukemia settings, significantly broadening the addressable patient population [1]</w:t>
      </w:r>
    </w:p>
    <w:p>
      <w:pPr>
        <w:spacing w:before="40" w:after="40"/>
        <w:ind w:left="283"/>
      </w:pPr>
      <w:r>
        <w:rPr>
          <w:rFonts w:ascii="Calibri" w:hAnsi="Calibri"/>
          <w:b/>
          <w:color w:val="4A6B25"/>
          <w:sz w:val="20"/>
        </w:rPr>
        <w:t xml:space="preserve">2. </w:t>
      </w:r>
      <w:r>
        <w:rPr>
          <w:rFonts w:ascii="Calibri" w:hAnsi="Calibri"/>
          <w:b w:val="0"/>
          <w:color w:val="3A4A28"/>
          <w:sz w:val="20"/>
        </w:rPr>
        <w:t>Path to profitability on existing cash and revenue as 96% gross margin creates powerful operating leverage — fixed commercialization costs declining as a percentage of revenue with each quarter of growth [1]</w:t>
      </w:r>
    </w:p>
    <w:p>
      <w:pPr>
        <w:spacing w:before="40" w:after="40"/>
        <w:ind w:left="283"/>
      </w:pPr>
      <w:r>
        <w:rPr>
          <w:rFonts w:ascii="Calibri" w:hAnsi="Calibri"/>
          <w:b/>
          <w:color w:val="4A6B25"/>
          <w:sz w:val="20"/>
        </w:rPr>
        <w:t xml:space="preserve">3. </w:t>
      </w:r>
      <w:r>
        <w:rPr>
          <w:rFonts w:ascii="Calibri" w:hAnsi="Calibri"/>
          <w:b w:val="0"/>
          <w:color w:val="3A4A28"/>
          <w:sz w:val="20"/>
        </w:rPr>
        <w:t>Pipeline expansion with 2026-2027 clinical catalysts including combination studies and new indications for both approved drugs, potentially unlocking additional commercial opportunities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Menin inhibitor competition from Kura Oncology's ziftomenib and other pipeline programs could erode Revuforj's first-mover advantage before the market fully develops, compressing pricing power and market share [1]</w:t>
      </w:r>
    </w:p>
    <w:p>
      <w:pPr>
        <w:spacing w:before="40" w:after="40"/>
        <w:ind w:left="283"/>
      </w:pPr>
      <w:r>
        <w:rPr>
          <w:rFonts w:ascii="Calibri" w:hAnsi="Calibri"/>
          <w:b/>
          <w:color w:val="4A6B25"/>
          <w:sz w:val="20"/>
        </w:rPr>
        <w:t xml:space="preserve">2. </w:t>
      </w:r>
      <w:r>
        <w:rPr>
          <w:rFonts w:ascii="Calibri" w:hAnsi="Calibri"/>
          <w:b w:val="0"/>
          <w:color w:val="3A4A28"/>
          <w:sz w:val="20"/>
        </w:rPr>
        <w:t>Extreme balance sheet stress — D/E of 826%, net margin of -112%, and Q1 revenue missing consensus by 10% create execution risk if the commercial ramp falls short of the trajectory needed for profitability [4]</w:t>
      </w:r>
    </w:p>
    <w:p>
      <w:pPr>
        <w:spacing w:before="40" w:after="40"/>
        <w:ind w:left="283"/>
      </w:pPr>
      <w:r>
        <w:rPr>
          <w:rFonts w:ascii="Calibri" w:hAnsi="Calibri"/>
          <w:b/>
          <w:color w:val="4A6B25"/>
          <w:sz w:val="20"/>
        </w:rPr>
        <w:t xml:space="preserve">3. </w:t>
      </w:r>
      <w:r>
        <w:rPr>
          <w:rFonts w:ascii="Calibri" w:hAnsi="Calibri"/>
          <w:b w:val="0"/>
          <w:color w:val="3A4A28"/>
          <w:sz w:val="20"/>
        </w:rPr>
        <w:t>Net insider selling of $3.0M and officer stock sales in July 2026 signal potential leadership skepticism about near-term value, undermining the bull case narrative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Syndax's core business — developing, manufacturing, and commercializing novel cancer therapeutics — is structurally immune to AI disruption. The company's competitive moat rests on FDA-approved proprietary drugs (Revuforj and Niktimvo), complex small-molecule and antibody manufacturing, clinical trial expertise in hematologic malignancies, and regulatory exclusivity [1]. Drug development, clinical trials, and GMP manufacturing are physical-world, heavily regulated processes with enormous barriers to AI substitution. The FDA mandates physical clinical trials regardless of computational advances. Revuforj's first-in-class menin inhibitor status is protected by composition-of-matter patents, not data advantages that AI could replicate. AI Opportunity (0/1): Syndax does not generate AI revenue. The company is a 298-employee biotech focused on clinical development and commercialization without AI-powered products or quantified internal AI-driven efficiency gains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Syndax Pharmaceuticals Q1 2026 Financial Results — $64.9M total revenue (+224% YoY), Revuforj $48.9M (+144%), prescriptions +160%, $352.1M cash, path to profitability, May 2026</w:t>
      </w:r>
    </w:p>
    <w:p>
      <w:pPr>
        <w:spacing w:before="20" w:after="20"/>
        <w:ind w:left="170"/>
      </w:pPr>
      <w:r>
        <w:rPr>
          <w:rFonts w:ascii="Calibri" w:hAnsi="Calibri"/>
          <w:b/>
          <w:color w:val="4A6B25"/>
          <w:sz w:val="15"/>
        </w:rPr>
        <w:t xml:space="preserve">2. </w:t>
      </w:r>
      <w:r>
        <w:rPr>
          <w:rFonts w:ascii="Calibri" w:hAnsi="Calibri"/>
          <w:b w:val="0"/>
          <w:color w:val="3A4A28"/>
          <w:sz w:val="17"/>
        </w:rPr>
        <w:t>Syndax Leadership — CEO Michael Metzger (since February 2022), President Briggs Morrison M.D. (Head of R&amp;D), CEO compensation $7.09M in 2025, Syndax IR, 2022-2026</w:t>
      </w:r>
    </w:p>
    <w:p>
      <w:pPr>
        <w:spacing w:before="20" w:after="20"/>
        <w:ind w:left="170"/>
      </w:pPr>
      <w:r>
        <w:rPr>
          <w:rFonts w:ascii="Calibri" w:hAnsi="Calibri"/>
          <w:b/>
          <w:color w:val="4A6B25"/>
          <w:sz w:val="15"/>
        </w:rPr>
        <w:t xml:space="preserve">3. </w:t>
      </w:r>
      <w:r>
        <w:rPr>
          <w:rFonts w:ascii="Calibri" w:hAnsi="Calibri"/>
          <w:b w:val="0"/>
          <w:color w:val="3A4A28"/>
          <w:sz w:val="17"/>
        </w:rPr>
        <w:t>Syndax ESG Profile — Sustainalytics 'None' controversy level, no major ESG controversies identified, Yahoo Finance ESG ratings,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and StockAnalysis — SNDX key statistics, D/E 826%, ROE -113%, profit margin -112%, average volume,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SEC Form 144 — SNDX insider sale filing July 2026 (32,375 shares), net insider selling of $3.0M over 12 months, StockTitan,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