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SOBO</w:t>
      </w:r>
      <w:r>
        <w:rPr>
          <w:rFonts w:ascii="Calibri" w:hAnsi="Calibri"/>
          <w:b/>
          <w:color w:val="1A2010"/>
          <w:sz w:val="40"/>
        </w:rPr>
        <w:t xml:space="preserve">  South Bow Corporation</w:t>
      </w:r>
    </w:p>
    <w:p>
      <w:pPr>
        <w:spacing w:after="120"/>
      </w:pPr>
      <w:r>
        <w:rPr>
          <w:rFonts w:ascii="Calibri" w:hAnsi="Calibri"/>
          <w:b/>
          <w:color w:val="6E8450"/>
          <w:sz w:val="18"/>
        </w:rPr>
        <w:t>GROWTH SLEEVE · 2026-08-09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Canada</w:t>
      </w:r>
    </w:p>
    <w:p>
      <w:pPr>
        <w:spacing w:after="80"/>
      </w:pPr>
      <w:r>
        <w:rPr>
          <w:rFonts w:ascii="Calibri" w:hAnsi="Calibri"/>
          <w:b w:val="0"/>
          <w:color w:val="3A4A28"/>
          <w:sz w:val="20"/>
        </w:rPr>
        <w:t>South Bow Corporation operates 4,900 kilometres (3,045 miles) of crude oil pipeline infrastructure connecting Alberta crude oil supplies to U.S. refining markets in Illinois, Oklahoma, and the U.S. Gulf Coast through the Keystone Pipeline System. Spun off from TC Energy Corporation in October 2024, the company operates through three segments: Keystone Pipeline System, Marketing, and Intra-Alberta &amp; Other. Q2 2026 throughput averaged 596,000 bbl/d on the Keystone Pipeline and 800,000 bbl/d on the Gulf Coast segment. Headquartered in Calgary, Alberta. Market cap approximately $7.4B.</w:t>
      </w:r>
    </w:p>
    <w:p>
      <w:r>
        <w:rPr>
          <w:rFonts w:ascii="Calibri" w:hAnsi="Calibri"/>
          <w:b/>
          <w:color w:val="6E8450"/>
          <w:sz w:val="18"/>
        </w:rPr>
        <w:t>https://www.southbow.com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South Bow was spun off from TC Energy in October 2024 and operates existing pipeline infrastructure built over the prior two decades. No new product launches, market pivots, or business model transformations have occurred — the company operates the same Keystone Pipeline System it inherited [1][4]. Innovation in the pipeline industry is limited to operational improvements and safety enhancements. AI Deployment (0/2): No AI-powered products or AI-driven operational efficiencies were reported. Pipeline monitoring relies on traditional SCADA systems and physical inspection. Market Share (1/2): The Keystone Pipeline System is one of the critical crude oil arteries connecting Alberta's oil sands to U.S. refining markets, with throughput of 596,000 bbl/d on the Keystone Pipeline and 800,000 bbl/d on the Gulf Coast segment in Q2 2026 [1]. However, Enbridge's Mainline system carries significantly more volume, and Trans Mountain provides alternative Western export capacity, so South Bow is a meaningful but not dominant player. Product Pipeline (0/2): No new pipeline construction or expansion projects with specific timelines were announced beyond the Blackrod Connection Project. Growth capex guidance of approximately $80M for 2026 is modest [1]. R&amp;D Intensity (0/1): Pipeline operators do not conduct R&amp;D in the traditional sense.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South Bow describes its purpose as delivering 'safe and secure crude oil supply' with values of 'safety, integrity, teamwork, and delivering energy reliably' [4]. This is a boilerplate operational statement interchangeable with any pipeline company — it describes what the company does, not why it exists. No deeper purpose, social mission, or vision of a better future is articulated. Community Impact (0/2): The company's most significant community interaction has been negative — the 2022 Keystone pipeline spill of nearly 13,000 barrels in Kansas killed or harmed more than 2,700 animals and contaminated 5.6 km of Mill Creek, resulting in a $26.9M civil penalty, $40M in preventive measures, and $3M for restoration under a U.S. Justice Department settlement [3]. No positive community investment programs were identified. Employee Retention (0/2): No employee retention, turnover, or tenure data available. The company is less than two years old as a standalone entity. Insider Buying (0/2): No evidence of meaningful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revenue of $546M, net income of $134M, and normalized EBITDA of $280M (up 9% from Q1) on a 93% operating factor for the Keystone system [1]. Forward P/E of 15.8 is well below the 20 target, reflecting an undemanding valuation for a cash-generative infrastructure business [5]. Profit margin of approximately 20.3% (H1 2026 net income $211M on revenue $1,037M) meets the 20% target, reflecting the inherent profitability of contracted pipeline operations with 88% of comparable EBITDA contracted and 96% of revenue from investment-grade counterparties [1][4]. ROE of 11.6% falls below the 15% target, pulled down by the capital-intensive nature of pipeline infrastructure. D/E of 220% is elevated at 4.4x net debt-to-EBITDA, though this is improving from 4.7x in Q1 2026 and management targets 4.0x long-term [1]. Revenue growth of -1.4% (Q1 2026 YoY) reflects the stable, contracted nature of pipeline revenue rather than business deterioration. Free cash flow of $585.6M TTM and distributable cash flow guidance of $665M for 2026 demonstrate strong cash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South Bow operates with a finite mindset characteristic of a recently spun-off infrastructure company focused on operational execution, deleveraging, and dividend payments. The company has no articulated Just Cause beyond safe pipeline operations, demonstrates no strategic flexibility (the business model is fixed physical infrastructure), and shows no evidence of competitive learning. The 2022 Keystone spill and subsequent enforcement action highlight operational risk that a more purpose-driven organization might have prevented through deeper safety culture. As a less-than-two-year-old standalone entity, South Bow has not had time to develop the institutional purpose and culture that Sinek's framework rewards.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South Bow does not articulate a Just Cause. The company's purpose — 'safe and secure crude oil supply' — is an operational function, not a vision of a future state that inspires sacrifice [4]. Sinek would note that transporting oil safely is a job description, not a cause. No deeper purpose connecting the company's infrastructure role to societal benefit (energy security, economic development, community building) is articulated in strategic communications. The company exists to operate pipelines and pay dividends, which is definitionally finite.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South Bow emphasizes that 'listening to its employees, customers and communities is paramount' and organizational values include safety, integrity, and teamwork [4]. The company maintains stable operations with a 93% operating factor on the Keystone system in Q2 2026, suggesting operational discipline and teamwork [1]. However, no specific employee retention data, cultural practices, or empowerment evidence was found. The 2022 pipeline spill raises questions about whether the safety culture was adequate prior to the spinoff.</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South Bow acknowledging competitors' strengths or using competitive dynamics constructively. The company describes its Keystone system position as 'unrivalled,' which Sinek would identify as finite competitive language [4]. Pipeline operators like Enbridge (significantly larger mainline capacity) and Trans Mountain provide competitive alternatives, but South Bow's communications do not reference learning from these peers or using their strengths as motivation to improve.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South Bow operates fixed physical pipeline infrastructure with no strategic flexibility evident. The company's business model is to transport crude oil through the Keystone system and return cash to shareholders — there is no evidence of willingness to adapt, evolve, or pivot the business model in response to changing energy markets [4]. The spinoff from TC Energy itself was a financial restructuring, not a strategic transformation. Pipeline companies are inherently rigid — you cannot repurpose a crude oil pipeline for a different 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was found. South Bow is executing a straightforward playbook as a newly independent company — operate the pipeline, deleverage from 4.7x to 4.0x target, pay dividends [1]. While the $50M annual maintenance capex investment maintains long-term asset integrity, this is table-stakes for a pipeline operator, not a courageous bet. Management has not demonstrated willingness to sacrifice short-term results for long-term capability or invest counter-cyclically.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South Bow is a pure-play crude oil pipeline operator with an enviable infrastructure position — the Keystone Pipeline System connects Alberta crude supplies to U.S. refining markets across Illinois, Oklahoma, and the Gulf Coast, with Q2 2026 throughput of 596,000 bbl/d on the mainline and 800,000 bbl/d on the Gulf Coast segment at a 93% operating factor [1]. The financial profile is compelling for income investors: 5.6% dividend yield, normalized EBITDA guidance of approximately $1,040M for 2026, distributable cash flow guidance of $665M, and a Forward P/E of 15.8x reflecting an undemanding valuation for a contracted infrastructure business with 88% of EBITDA under contract with investment-grade counterparties [1][5]. EPS growth of 46% YoY through Q1 2026 reflects operational improvements post-spinoff, and the company is actively deleveraging from 4.7x to 4.4x net debt-to-EBITDA en route to a 4.0x long-term target.</w:t>
      </w:r>
    </w:p>
    <w:p>
      <w:pPr>
        <w:spacing w:after="120"/>
      </w:pPr>
      <w:r>
        <w:rPr>
          <w:rFonts w:ascii="Calibri" w:hAnsi="Calibri"/>
          <w:b w:val="0"/>
          <w:color w:val="3A4A28"/>
          <w:sz w:val="20"/>
        </w:rPr>
        <w:t>The bear case centers on structural limitations, environmental risk, and energy transition exposure. Revenue declined 1.4% in Q1 2026 YoY, and the contracted nature of the business limits organic growth potential — normalized EBITDA guidance is essentially flat at $1,040M. D/E of 220% and net debt of $4.6B create significant financial leverage, with the payout ratio exceeding 100% of net income (though 63% of distributable cash flow, more appropriate for pipeline companies) [1][5]. The 2022 Keystone spill of nearly 13,000 barrels in Kansas — killing 2,700+ animals and resulting in $26.9M penalty plus $43M in remediation costs — demonstrates material operational and environmental risk inherent in crude oil transportation [3]. Long-term energy transition away from fossil fuels poses an existential question for crude oil pipeline infrastructure, and the company has articulated no strategy for adaptation or diversification. As a Growth-sleeve stock (standalone dividend history &lt;2 years), SOBO's 5.6% yield is its primary appeal, but it cannot compound income without dividend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Deleveraging from 4.4x to 4.0x net debt-to-EBITDA could unlock capacity for dividend increases or share repurchases, transforming the income story from yield-only to yield-plus-growth</w:t>
      </w:r>
    </w:p>
    <w:p>
      <w:pPr>
        <w:spacing w:before="40" w:after="40"/>
        <w:ind w:left="283"/>
      </w:pPr>
      <w:r>
        <w:rPr>
          <w:rFonts w:ascii="Calibri" w:hAnsi="Calibri"/>
          <w:b/>
          <w:color w:val="4A6B25"/>
          <w:sz w:val="20"/>
        </w:rPr>
        <w:t xml:space="preserve">2. </w:t>
      </w:r>
      <w:r>
        <w:rPr>
          <w:rFonts w:ascii="Calibri" w:hAnsi="Calibri"/>
          <w:b w:val="0"/>
          <w:color w:val="3A4A28"/>
          <w:sz w:val="20"/>
        </w:rPr>
        <w:t>Continued strong Canadian crude production growth and export demand could increase throughput volumes beyond current levels, driving revenue and EBITDA upside from contracted volume escalators</w:t>
      </w:r>
    </w:p>
    <w:p>
      <w:pPr>
        <w:spacing w:before="40" w:after="40"/>
        <w:ind w:left="283"/>
      </w:pPr>
      <w:r>
        <w:rPr>
          <w:rFonts w:ascii="Calibri" w:hAnsi="Calibri"/>
          <w:b/>
          <w:color w:val="4A6B25"/>
          <w:sz w:val="20"/>
        </w:rPr>
        <w:t xml:space="preserve">3. </w:t>
      </w:r>
      <w:r>
        <w:rPr>
          <w:rFonts w:ascii="Calibri" w:hAnsi="Calibri"/>
          <w:b w:val="0"/>
          <w:color w:val="3A4A28"/>
          <w:sz w:val="20"/>
        </w:rPr>
        <w:t>Resolution of the U.S. Justice Department settlement for the 2022 Keystone spill removes a governance overhang and allows the company to focus on operational improvements and stakeholder confidence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220% and net debt of $4.6B create significant financial leverage — any disruption to pipeline operations or crude demand could stress debt service, and the dividend payout ratio exceeds 100% of net income</w:t>
      </w:r>
    </w:p>
    <w:p>
      <w:pPr>
        <w:spacing w:before="40" w:after="40"/>
        <w:ind w:left="283"/>
      </w:pPr>
      <w:r>
        <w:rPr>
          <w:rFonts w:ascii="Calibri" w:hAnsi="Calibri"/>
          <w:b/>
          <w:color w:val="4A6B25"/>
          <w:sz w:val="20"/>
        </w:rPr>
        <w:t xml:space="preserve">2. </w:t>
      </w:r>
      <w:r>
        <w:rPr>
          <w:rFonts w:ascii="Calibri" w:hAnsi="Calibri"/>
          <w:b w:val="0"/>
          <w:color w:val="3A4A28"/>
          <w:sz w:val="20"/>
        </w:rPr>
        <w:t>The 2022 Keystone pipeline spill ($26.9M penalty, $43M remediation) demonstrates material environmental and operational risk, and future spills could result in pipeline shutdowns, regulatory action, or reputational damage</w:t>
      </w:r>
    </w:p>
    <w:p>
      <w:pPr>
        <w:spacing w:before="40" w:after="40"/>
        <w:ind w:left="283"/>
      </w:pPr>
      <w:r>
        <w:rPr>
          <w:rFonts w:ascii="Calibri" w:hAnsi="Calibri"/>
          <w:b/>
          <w:color w:val="4A6B25"/>
          <w:sz w:val="20"/>
        </w:rPr>
        <w:t xml:space="preserve">3. </w:t>
      </w:r>
      <w:r>
        <w:rPr>
          <w:rFonts w:ascii="Calibri" w:hAnsi="Calibri"/>
          <w:b w:val="0"/>
          <w:color w:val="3A4A28"/>
          <w:sz w:val="20"/>
        </w:rPr>
        <w:t>Long-term energy transition from fossil fuels poses an existential risk to crude oil pipeline infrastructure — South Bow has articulated no diversification strategy, and the physical pipeline asset has a 30-40 year useful life spanning the projected peak-and-decline of crude oil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South Bow operates physical crude oil pipeline infrastructure spanning 4,900 km — AI structurally cannot substitute for steel pipelines, pumping stations, and the physical transportation of crude oil from Alberta to U.S. refineries [4]. Pipeline operations require real-time physical monitoring, maintenance crews, regulatory compliance (PHMSA), and emergency response capabilities that exist entirely in the physical world. AI may modestly improve predictive maintenance and demand forecasting, but these are operational enhancements, not substitution threats. Furthermore, AI data center buildout increases electricity demand, which supports fossil fuel consumption and crude oil transport volumes in the near-to-medium term. No analysts have identified AI as a displacement risk for midstream pipeline infrastructure. AI Opportunity (0/1): South Bow generates no revenue from AI-related products or services. Any AI usage would be internal operational tools for pipeline monitoring and maintenance, with no quantified revenue contribution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GlobeNewsWire — South Bow Q2 2026 Results and Dividend Declaration, August 5,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 Yahoo Finance — South Bow Earnings Growth 46% YoY TTM through Q1 2026</w:t>
      </w:r>
    </w:p>
    <w:p>
      <w:pPr>
        <w:spacing w:before="20" w:after="20"/>
        <w:ind w:left="170"/>
      </w:pPr>
      <w:r>
        <w:rPr>
          <w:rFonts w:ascii="Calibri" w:hAnsi="Calibri"/>
          <w:b/>
          <w:color w:val="4A6B25"/>
          <w:sz w:val="15"/>
        </w:rPr>
        <w:t xml:space="preserve">3. </w:t>
      </w:r>
      <w:r>
        <w:rPr>
          <w:rFonts w:ascii="Calibri" w:hAnsi="Calibri"/>
          <w:b w:val="0"/>
          <w:color w:val="3A4A28"/>
          <w:sz w:val="17"/>
        </w:rPr>
        <w:t>CBC News / EPA — U.S. Justice Department Settlement with South Bow on 2022 Keystone Pipeline Spill, $26.9M Penalty, July 2026</w:t>
      </w:r>
    </w:p>
    <w:p>
      <w:pPr>
        <w:spacing w:before="20" w:after="20"/>
        <w:ind w:left="170"/>
      </w:pPr>
      <w:r>
        <w:rPr>
          <w:rFonts w:ascii="Calibri" w:hAnsi="Calibri"/>
          <w:b/>
          <w:color w:val="4A6B25"/>
          <w:sz w:val="15"/>
        </w:rPr>
        <w:t xml:space="preserve">4. </w:t>
      </w:r>
      <w:r>
        <w:rPr>
          <w:rFonts w:ascii="Calibri" w:hAnsi="Calibri"/>
          <w:b w:val="0"/>
          <w:color w:val="3A4A28"/>
          <w:sz w:val="17"/>
        </w:rPr>
        <w:t>South Bow Corporation — About Page, Corporate Overview, Governance, and Values</w:t>
      </w:r>
    </w:p>
    <w:p>
      <w:pPr>
        <w:spacing w:before="20" w:after="20"/>
        <w:ind w:left="170"/>
      </w:pPr>
      <w:r>
        <w:rPr>
          <w:rFonts w:ascii="Calibri" w:hAnsi="Calibri"/>
          <w:b/>
          <w:color w:val="4A6B25"/>
          <w:sz w:val="15"/>
        </w:rPr>
        <w:t xml:space="preserve">5. </w:t>
      </w:r>
      <w:r>
        <w:rPr>
          <w:rFonts w:ascii="Calibri" w:hAnsi="Calibri"/>
          <w:b w:val="0"/>
          <w:color w:val="3A4A28"/>
          <w:sz w:val="17"/>
        </w:rPr>
        <w:t>StockAnalysis / Market Data — SOBO Key Statistics, Forward P/E, D/E, ROE, Dividend Yield,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