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SPGI</w:t>
      </w:r>
      <w:r>
        <w:rPr>
          <w:rFonts w:ascii="Calibri" w:hAnsi="Calibri"/>
          <w:b/>
          <w:color w:val="1A2010"/>
          <w:sz w:val="40"/>
        </w:rPr>
        <w:t xml:space="preserve">  S&amp;P Global Inc.</w:t>
      </w:r>
    </w:p>
    <w:p>
      <w:pPr>
        <w:spacing w:after="120"/>
      </w:pPr>
      <w:r>
        <w:rPr>
          <w:rFonts w:ascii="Calibri" w:hAnsi="Calibri"/>
          <w:b/>
          <w:color w:val="6E8450"/>
          <w:sz w:val="18"/>
        </w:rPr>
        <w:t>GROWTH SLEEVE · 2026-07-13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Analytics · NYSE · United States</w:t>
      </w:r>
    </w:p>
    <w:p>
      <w:pPr>
        <w:spacing w:after="80"/>
      </w:pPr>
      <w:r>
        <w:rPr>
          <w:rFonts w:ascii="Calibri" w:hAnsi="Calibri"/>
          <w:b w:val="0"/>
          <w:color w:val="3A4A28"/>
          <w:sz w:val="20"/>
        </w:rPr>
        <w:t>S&amp;P Global Inc. is a leading provider of transparent and independent ratings, benchmarks, analytics, and data to the capital and commodity markets worldwide. The company operates through five segments: Ratings (credit ratings, research), Market Intelligence (financial data, analytics, workflow solutions), Platts (commodity price benchmarks), Indices (S&amp;P 500, Dow Jones), and Mobility (automotive data). Following the transformative $44B IHS Markit merger in 2022, S&amp;P Global is the dominant data infrastructure provider for global financial markets.</w:t>
      </w:r>
    </w:p>
    <w:p>
      <w:r>
        <w:rPr>
          <w:rFonts w:ascii="Calibri" w:hAnsi="Calibri"/>
          <w:b/>
          <w:color w:val="6E8450"/>
          <w:sz w:val="18"/>
        </w:rPr>
        <w:t>44,500 Employees · https://www.spglobal.com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$44B IHS Markit merger (2022) was transformative, combining two of the world's largest financial data providers and creating significant cross-selling synergies. In July 2026, S&amp;P Global restructured its Market Intelligence division to 'accelerate agentic solutions, platform capabilities and innovation,' appointing a Chief Technology and Transformation Officer reporting directly to CEO Cheung [3]. These represent two significant strategic moves in the last five years. AI Deployment (2/2): S&amp;P Global is a leader in AI deployment within financial services. CEO Martina Cheung created a comprehensive 'four-P framework' (Potential, Productivity, People, Protection) for AI adoption [2]. Internal 'Sparks' tools enable employees to co-create and scale AI-powered productivity tools at the grassroots level. Analysts consider AI disruption risks 'overstated' for SPGI, and the company is shipping AI-powered workflows and agentic solutions to customers [2][3]. Market Share (2/2): S&amp;P Global holds dominant positions in credit ratings (oligopoly with Moody's and Fitch, NRSRO-designated), indices (S&amp;P 500 is the world's most tracked benchmark), commodity benchmarks (Platts), and financial data [1]. Product Pipeline (1/2): Market Intelligence restructuring for agentic solutions signals next-generation products, but specific product names and launch dates have not been disclosed beyond the organizational changes [3]. R&amp;D Intensity (1/1): As a data and analytics company, technology investment is substantial, reflected in the ongoing AI transformation and platform modernization across all five segments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S&amp;P Global's purpose — 'Accelerating Progress' — is specific and thoughtful, connecting the company's data and analytics work to the broader advancement of markets and society [2]. The purpose has been consistent through the IHS Markit merger integration and the CEO transition to Martina Cheung, and strategic decisions (AI investment, market restructuring) can be traced to this mission. It differentiates from generic 'data provider' positioning and reflects genuine intentionality about the company's role in enabling transparent, efficient capital markets. Community Impact (0/2): No specific evidence of distinctive charitable programs, community foundation, or measurable community investment was identified in the research. A company of S&amp;P Global's scale ($130B market cap, 44,500 employees) likely has CSR programs, but no specific dollar amounts or programs were cited. Employee Retention (0/2): No specific retention data, employee tenure metrics, or voluntary turnover rates were found. The leadership team under CEO Cheung has been stable, but employee-level data was not available. Insider Buying (0/2): No evidence of meaningful net insider buying by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$4.171B revenue (up 10% YoY), with GAAP net income increasing 28% to $1.395B and GAAP diluted EPS surging 32% to $4.69 [1]. The Ratings segment grew 13% to $1.302B, Indices led growth at 17% to $519M, and Market Intelligence grew 8% to $1.296B [1]. D/E of 38% is well within the 70% target, reflecting disciplined leverage management despite $13.9B in debt from the IHS Markit acquisition. ROE of 13.9% is slightly below the 15% target due to the large goodwill base from the merger. Profit margin of 30.4% exceeds the 20% target, reflecting the high-margin, subscription-based business model [5]. Forward P/E of 22.4 is slightly above the 20 target. PEG ratio of 2.62 indicates premium valuation relative to growth, scoring poorly on the growth metric. Revenue growth 5yr CAGR of approximately 10% hits the target. 2026 guidance calls for 6-8% organic constant currency revenue growth and adjusted EPS of $19.40-$19.65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S&amp;P Global exhibits mixed infinite game characteristics. The company's 'Accelerating Progress' purpose is genuine and connects its work to a larger societal mission of enabling transparent, efficient capital markets. The 160+ year history (dating to Standard &amp; Poor's founding) demonstrates institutional endurance. However, the company's strategic language often defaults to financial targets, and the IHS Markit merger was primarily driven by revenue synergies and market dominance rather than mission advancement. Sinek would appreciate the purpose articulation but question whether it truly drives strategic decisions or serves as post-hoc rationalization.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S&amp;P Global's 'Accelerating Progress' purpose is genuine and distinctive, connecting the company's data and analytics work to enabling transparent capital markets and societal advancement [2]. The purpose has been consistent through the IHS Markit merger integration and CEO transitions (from Doug Peterson to Martina Cheung). Some strategic decisions, particularly the AI transformation framework and the Market Intelligence restructuring, can be traced to this purpose. However, the purpose hasn't been severely tested — S&amp;P Global hasn't had to sacrifice short-term earnings for long-term purpose alignment in any dramatic way. The company is profitable enough that purpose and profit rarely conflict.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S&amp;P Global's 44,500-person workforce operates in a culture that emphasizes 'embracing, sharing and learning about AI without barriers,' suggesting psychological safety around technology adoption [2]. CEO Cheung's leadership style promotes employee engagement with the AI transformation. The IHS Markit integration was executed without major cultural disruption reported. However, no specific employee retention data, tenure metrics, or evidence of exceptional trust was found. The culture appears adequate for a large financial services company but not distinctively high-trust.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was found in management commentary. S&amp;P Global competes with Moody's, Bloomberg, MSCI, and Refinitiv (LSEG), but the company's competitive language focuses on market leadership and data dominance rather than learning from competitors' strengths. The July 2026 Market Intelligence restructuring was positioned as leading the industry in AI, not as responding to competitive pressure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$44B IHS Markit merger (2022) was a transformative strategic move that fundamentally changed S&amp;P Global's scale and competitive position. The July 2026 Market Intelligence restructuring represents ongoing evolution toward AI-driven agentic solutions [3]. However, S&amp;P Global has never faced an existential strategic pivot — the company has been in the data/ratings/indices business for 160+ years, adapting incrementally rather than reinventing itself. The business model evolution has been additive (adding capabilities through M&amp;A) rather than cannibalistic.</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$44B IHS Markit acquisition required significant conviction and execution risk. The July 2026 decision to restructure Market Intelligence while the segment was growing 8% shows willingness to disrupt a profitable division for long-term AI positioning [3]. CEO Cheung's aggressive AI adoption framework demonstrates forward-looking leadership. However, S&amp;P Global's extraordinary profitability (30% margins, $130B market cap) means these 'bets' carry relatively low existential risk — courage is easier when you're the dominant franchise in a regulated oligopoly.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S&amp;P Global is the preeminent data infrastructure franchise for global capital markets, operating in a government-sanctioned ratings oligopoly and owning the world's most tracked equity benchmark (S&amp;P 500). Q1 2026 delivered $4.17B revenue (up 10% YoY) with GAAP EPS surging 32% to $4.69, driven by Ratings growth of 13% and Indices growth of 17% [1]. Profit margins of 30.4% reflect the high-margin, subscription-based business model, and the dividend has been raised for 53 consecutive years with a conservative 24% payout ratio [5][6]. The AI transformation under CEO Cheung — including the 'Sparks' internal innovation platform and July 2026 Market Intelligence restructuring for agentic solutions — positions the company to enhance existing products while creating new AI-driven revenue streams [2][3]. At $439.89 with a forward P/E of 22.4x, the stock trades at a premium justified by the irreplaceable data moat and regulatory franchise.</w:t>
      </w:r>
    </w:p>
    <w:p>
      <w:pPr>
        <w:spacing w:after="120"/>
      </w:pPr>
      <w:r>
        <w:rPr>
          <w:rFonts w:ascii="Calibri" w:hAnsi="Calibri"/>
          <w:b w:val="0"/>
          <w:color w:val="3A4A28"/>
          <w:sz w:val="20"/>
        </w:rPr>
        <w:t>The bear case centers on valuation and growth deceleration. The PEG ratio of 2.62 signals premium pricing relative to the 6-8% organic growth guidance for 2026, leaving limited margin of safety [1][5]. ROE of 13.9% is below the 15% target due to the $27B+ goodwill base from the IHS Markit merger, raising questions about whether the acquisition premium will be fully justified over time. The Texas Attorney General's investigation into S&amp;P Global's use of ESG factors in credit ratings represents a new regulatory risk vector, as politicization of ESG could force the company to restructure its sustainability products or face legal challenges across multiple states [4]. The Market Intelligence segment, while growing 8%, faces competitive pressure from Bloomberg and alternative data providers, and the restructuring announced in July 2026 implicitly acknowledges that the current model needs significant evolution to remain competitive in an AI-driven world [3]. At $130B market cap, S&amp;P Global is priced as a flawless compounder — any execution miss could trigger meaningful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Market Intelligence restructuring for agentic solutions (July 2026) unlocking new AI-powered revenue streams and enhanced customer workflows across the $1.3B/quarter segment</w:t>
      </w:r>
    </w:p>
    <w:p>
      <w:pPr>
        <w:spacing w:before="40" w:after="40"/>
        <w:ind w:left="283"/>
      </w:pPr>
      <w:r>
        <w:rPr>
          <w:rFonts w:ascii="Calibri" w:hAnsi="Calibri"/>
          <w:b/>
          <w:color w:val="4A6B25"/>
          <w:sz w:val="20"/>
        </w:rPr>
        <w:t xml:space="preserve">2. </w:t>
      </w:r>
      <w:r>
        <w:rPr>
          <w:rFonts w:ascii="Calibri" w:hAnsi="Calibri"/>
          <w:b w:val="0"/>
          <w:color w:val="3A4A28"/>
          <w:sz w:val="20"/>
        </w:rPr>
        <w:t>Ratings revenue acceleration driven by corporate debt issuance cycle, with the segment growing 13% in Q1 2026 and likely to benefit from refinancing wave</w:t>
      </w:r>
    </w:p>
    <w:p>
      <w:pPr>
        <w:spacing w:before="40" w:after="40"/>
        <w:ind w:left="283"/>
      </w:pPr>
      <w:r>
        <w:rPr>
          <w:rFonts w:ascii="Calibri" w:hAnsi="Calibri"/>
          <w:b/>
          <w:color w:val="4A6B25"/>
          <w:sz w:val="20"/>
        </w:rPr>
        <w:t xml:space="preserve">3. </w:t>
      </w:r>
      <w:r>
        <w:rPr>
          <w:rFonts w:ascii="Calibri" w:hAnsi="Calibri"/>
          <w:b w:val="0"/>
          <w:color w:val="3A4A28"/>
          <w:sz w:val="20"/>
        </w:rPr>
        <w:t>Indices segment growing 17% as passive investment continues secular shift, driving high-margin benchmark licensing revenue from $11T+ in indexed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ratio of 2.62 and forward P/E of 22.4x leave minimal margin of safety at $130B market cap, with 6-8% organic growth guidance implying limited upside surprise potential</w:t>
      </w:r>
    </w:p>
    <w:p>
      <w:pPr>
        <w:spacing w:before="40" w:after="40"/>
        <w:ind w:left="283"/>
      </w:pPr>
      <w:r>
        <w:rPr>
          <w:rFonts w:ascii="Calibri" w:hAnsi="Calibri"/>
          <w:b/>
          <w:color w:val="4A6B25"/>
          <w:sz w:val="20"/>
        </w:rPr>
        <w:t xml:space="preserve">2. </w:t>
      </w:r>
      <w:r>
        <w:rPr>
          <w:rFonts w:ascii="Calibri" w:hAnsi="Calibri"/>
          <w:b w:val="0"/>
          <w:color w:val="3A4A28"/>
          <w:sz w:val="20"/>
        </w:rPr>
        <w:t>Texas AG investigation into ESG factor usage in credit ratings represents emerging political/regulatory risk that could force restructuring of sustainability products or invite additional state-level scrutiny</w:t>
      </w:r>
    </w:p>
    <w:p>
      <w:pPr>
        <w:spacing w:before="40" w:after="40"/>
        <w:ind w:left="283"/>
      </w:pPr>
      <w:r>
        <w:rPr>
          <w:rFonts w:ascii="Calibri" w:hAnsi="Calibri"/>
          <w:b/>
          <w:color w:val="4A6B25"/>
          <w:sz w:val="20"/>
        </w:rPr>
        <w:t xml:space="preserve">3. </w:t>
      </w:r>
      <w:r>
        <w:rPr>
          <w:rFonts w:ascii="Calibri" w:hAnsi="Calibri"/>
          <w:b w:val="0"/>
          <w:color w:val="3A4A28"/>
          <w:sz w:val="20"/>
        </w:rPr>
        <w:t>Market Intelligence faces competitive pressure from Bloomberg, MSCI, and alternative data providers in an increasingly AI-driven analytics market, requiring the July 2026 restructuring to succeed in delivering differentiated agentic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S&amp;P Global's core business lines are structurally protected from AI disruption. Credit ratings operate under an NRSRO regulatory moat that requires designated agencies, creating a government-sanctioned oligopoly that AI cannot replicate [1]. The S&amp;P 500 and Dow Jones indices are embedded in trillions of dollars of passive investment products, creating structural lock-in. Platts commodity benchmarks are the reference standard for global commodity pricing. Proprietary datasets spanning decades of financial, credit, and commodity data create an irreplaceable competitive advantage. Analysts explicitly consider AI disruption risks to SPGI 'overstated' [2]. The main vulnerability is that AI tools could partially automate research and analytics workflows currently sold through Market Intelligence subscriptions, creating some margin pressure in that segment. AI Opportunity (1/1): S&amp;P Global is actively monetizing AI through agentic solutions, AI-powered workflows, and the internal 'Sparks' platform that enables employee-driven AI innovation [2][3]. The July 2026 Market Intelligence restructuring explicitly aims to 'accelerate agentic solutions,' and AI capabilities are being deployed across all five business segments to enhance existing products and create new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S&amp;P Global Q1 2026 Earnings Release — spglobal.com, April 2026</w:t>
      </w:r>
    </w:p>
    <w:p>
      <w:pPr>
        <w:spacing w:before="20" w:after="20"/>
        <w:ind w:left="170"/>
      </w:pPr>
      <w:r>
        <w:rPr>
          <w:rFonts w:ascii="Calibri" w:hAnsi="Calibri"/>
          <w:b/>
          <w:color w:val="4A6B25"/>
          <w:sz w:val="15"/>
        </w:rPr>
        <w:t xml:space="preserve">2. </w:t>
      </w:r>
      <w:r>
        <w:rPr>
          <w:rFonts w:ascii="Calibri" w:hAnsi="Calibri"/>
          <w:b w:val="0"/>
          <w:color w:val="3A4A28"/>
          <w:sz w:val="17"/>
        </w:rPr>
        <w:t>Forbes — 'Inside S&amp;P Global's Data-Driven Transformation With AI At The Core,' May 2025</w:t>
      </w:r>
    </w:p>
    <w:p>
      <w:pPr>
        <w:spacing w:before="20" w:after="20"/>
        <w:ind w:left="170"/>
      </w:pPr>
      <w:r>
        <w:rPr>
          <w:rFonts w:ascii="Calibri" w:hAnsi="Calibri"/>
          <w:b/>
          <w:color w:val="4A6B25"/>
          <w:sz w:val="15"/>
        </w:rPr>
        <w:t xml:space="preserve">3. </w:t>
      </w:r>
      <w:r>
        <w:rPr>
          <w:rFonts w:ascii="Calibri" w:hAnsi="Calibri"/>
          <w:b w:val="0"/>
          <w:color w:val="3A4A28"/>
          <w:sz w:val="17"/>
        </w:rPr>
        <w:t>S&amp;P Global Press Release — 'Market Intelligence Operating Model Evolution for Agentic Solutions,' July 2026</w:t>
      </w:r>
    </w:p>
    <w:p>
      <w:pPr>
        <w:spacing w:before="20" w:after="20"/>
        <w:ind w:left="170"/>
      </w:pPr>
      <w:r>
        <w:rPr>
          <w:rFonts w:ascii="Calibri" w:hAnsi="Calibri"/>
          <w:b/>
          <w:color w:val="4A6B25"/>
          <w:sz w:val="15"/>
        </w:rPr>
        <w:t xml:space="preserve">4. </w:t>
      </w:r>
      <w:r>
        <w:rPr>
          <w:rFonts w:ascii="Calibri" w:hAnsi="Calibri"/>
          <w:b w:val="0"/>
          <w:color w:val="3A4A28"/>
          <w:sz w:val="17"/>
        </w:rPr>
        <w:t>Texas Attorney General — Investigation into S&amp;P Global's Use of ESG Factors in Credit Ratings</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SPGI Key Statistics and Valuation,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Dividend.com — SPGI Dividend History, 53 consecutive years of growth</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