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SPHL</w:t>
      </w:r>
      <w:r>
        <w:rPr>
          <w:rFonts w:ascii="Calibri" w:hAnsi="Calibri"/>
          <w:b/>
          <w:color w:val="1A2010"/>
          <w:sz w:val="40"/>
        </w:rPr>
        <w:t xml:space="preserve">  Springview Holdings Ltd</w:t>
      </w:r>
    </w:p>
    <w:p>
      <w:pPr>
        <w:spacing w:after="120"/>
      </w:pPr>
      <w:r>
        <w:rPr>
          <w:rFonts w:ascii="Calibri" w:hAnsi="Calibri"/>
          <w:b/>
          <w:color w:val="6E8450"/>
          <w:sz w:val="18"/>
        </w:rPr>
        <w:t>GROWTH SLEEVE · 2026-07-19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NASDAQ · Singapore</w:t>
      </w:r>
    </w:p>
    <w:p>
      <w:pPr>
        <w:spacing w:after="80"/>
      </w:pPr>
      <w:r>
        <w:rPr>
          <w:rFonts w:ascii="Calibri" w:hAnsi="Calibri"/>
          <w:b w:val="0"/>
          <w:color w:val="3A4A28"/>
          <w:sz w:val="20"/>
        </w:rPr>
        <w:t>Springview Holdings Ltd, through its wholly owned subsidiary Springview Enterprises Pte. Ltd., designs and constructs residential and commercial buildings in Singapore, offering design, construction, furniture customization, and project management services. Founded in 2002 and led by CEO Zhuo Wang, the company listed on NASDAQ in October 2024 and remains a Nasdaq 'controlled company' majority-owned by Avanta (BVI) Limited.</w:t>
      </w:r>
    </w:p>
    <w:p>
      <w:r>
        <w:rPr>
          <w:rFonts w:ascii="Calibri" w:hAnsi="Calibri"/>
          <w:b/>
          <w:color w:val="6E8450"/>
          <w:sz w:val="18"/>
        </w:rPr>
        <w:t>80 Employees · https://ir.springviewggl.com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Springview remains a core general-contracting business with only modest extensions — an exclusive Singapore distribution agreement for building materials (January 2026) and a patent license for drainage-connection technology — rather than a transformation, and FY2025 revenue actually declined 11.4% YoY [1][2]. AI Deployment (0/2): No evidence of AI-powered products or operations was found. Market Share (1/2): The company won a notable heritage-redevelopment contract in Singapore, but this is a single project win rather than demonstrated category leadership in a fragmented local construction market [1]. Product Pipeline (1/2): A memorandum of understanding with China's Jiangsu GSO New Energy Technology to explore rooftop solar integration and the new building-materials distribution agreement give some near-term visibility, though both are early-stage MOUs rather than committed revenue [2]. R&amp;D Intensity (0/1): No evidence of material R&amp;D spend, typical for a small regional contractor.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Beyond CEO Zhuo Wang's comment on 'preserving Singapore's architectural heritage' tied to a specific redevelopment contract, no distinctive company-wide mission or purpose statement was found — the positioning reads as standard design-and-build marketing [1]. Community Impact (0/2): No evidence of charitable giving or community investment programs was found. Employee Retention (0/2): No Glassdoor or employee-sentiment data is available for this micro-cap, so no retention evidence exists. Insider Buying (0/2): No insider buying data was found; the company remains a Nasdaq 'controlled company' with Avanta (BVI) Limited holding 60.87%/100% of Class A/B shares, and no disclosed open-market insider purchases were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Springview is unprofitable with ROE of -35.4% and profit margin of -30.1%, both scoring zero on the floor [2][4]. FY2025 revenue declined 11.4% YoY to SGD 7.81M from SGD 8.81M, and the 2-year revenue trend (SGD 13.35M in FY2023 to SGD 7.81M in FY2025, the longest span available for this recently IPO'd company) implies a roughly -23.5% compound rate, which falls below the -5% floor and scores zero [2][4]. D/E of 15% is excellent (well below the 70% target). Forward P/E and PEG are unavailable given the lack of profitability and analyst coverage and are excluded from the calculation. Liquidity floor cleared but narrowly: ~917K avg daily volume x $2.61 = ~$2.39M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Springview is a small, recently-IPO'd Singapore contractor with a declining revenue base and no evidence of an articulated Just Cause, meaningful community investment, or courageous long-term capital decisions. Its recent moves into solar and materials distribution show some adjacent-market flexibility, but there is no data suggesting the company is built to endure beyond routine project-to-project execution.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CEO Zhuo Wang's heritage-preservation framing on a specific redevelopment project is the only evidence of purpose beyond standard commercial construction, and it reads as project marketing rather than a company-wide, resilient cause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employee-sentiment data (Glassdoor or equivalent) is available for this micro-cap; absent any evidence of instability or red flags, the organization is scored as an adequately stable, closely-held small business rather than penalized for a data gap.</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Springview framing competitors in Singapore's construction market as sources of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January 2026 MOU with Jiangsu GSO New Energy Technology to explore rooftop solar and the new exclusive building-materials distribution agreement represent incremental adjacent-market diversification beyond core general contracting, though neither is yet a proven, material revenue stream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leadership sacrificing near-term results for long-term capability; declining FY2025 revenue and continued net losses (-$2.35M, up 128.2% YoY) suggest the company is managing for survival rather than making costly, principled long-term bets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Springview Holdings is a small Singapore residential and commercial contractor that listed on NASDAQ in October 2024 and has since won a notable heritage-redevelopment contract while signing early-stage agreements to diversify into rooftop solar (MOU with Jiangsu GSO New Energy Technology) and building materials distribution [1][2]. The core construction business is structurally insulated from direct AI disruption, since physical site execution, safety compliance, and client relationships cannot be automated away, and management has signaled intent to pursue the highest bizSAFE STAR safety certification [1][3].</w:t>
      </w:r>
    </w:p>
    <w:p>
      <w:pPr>
        <w:spacing w:after="120"/>
      </w:pPr>
      <w:r>
        <w:rPr>
          <w:rFonts w:ascii="Calibri" w:hAnsi="Calibri"/>
          <w:b w:val="0"/>
          <w:color w:val="3A4A28"/>
          <w:sz w:val="20"/>
        </w:rPr>
        <w:t>The financial picture is weak and deteriorating: FY2025 revenue declined 11.4% YoY to SGD 7.81M, continuing a downtrend from SGD 13.35M in FY2023, while net losses grew 128.2% YoY to SGD 2.35M, producing negative ROE (-35.4%) and negative profit margin (-30.1%) that floor the mechanical Infrastructure score at 2 [2][4]. There is no evidence of a distinctive corporate mission, community investment, employee-retention data, or insider buying, and as a Nasdaq 'controlled company' with Avanta (BVI) Limited holding 60.87%/100% of Class A/B shares, public shareholders have limited influence over strategy [3]. Daily dollar volume of roughly $2.39M clears the IOWN liquidity floor only narrowly, and the combination of declining revenue, sustained losses, and thin evidence across Innovation, Inspiration, and Infinite Game dimensions supports a SELL.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of the newly won heritage-redevelopment contract in Singapore, which could stabilize or reverse the FY2025 revenue decline</w:t>
      </w:r>
    </w:p>
    <w:p>
      <w:pPr>
        <w:spacing w:before="40" w:after="40"/>
        <w:ind w:left="283"/>
      </w:pPr>
      <w:r>
        <w:rPr>
          <w:rFonts w:ascii="Calibri" w:hAnsi="Calibri"/>
          <w:b/>
          <w:color w:val="4A6B25"/>
          <w:sz w:val="20"/>
        </w:rPr>
        <w:t xml:space="preserve">2. </w:t>
      </w:r>
      <w:r>
        <w:rPr>
          <w:rFonts w:ascii="Calibri" w:hAnsi="Calibri"/>
          <w:b w:val="0"/>
          <w:color w:val="3A4A28"/>
          <w:sz w:val="20"/>
        </w:rPr>
        <w:t>Progress converting the Jiangsu GSO rooftop-solar MOU and the exclusive building-materials distribution agreement into recognized revenue</w:t>
      </w:r>
    </w:p>
    <w:p>
      <w:pPr>
        <w:spacing w:before="40" w:after="40"/>
        <w:ind w:left="283"/>
      </w:pPr>
      <w:r>
        <w:rPr>
          <w:rFonts w:ascii="Calibri" w:hAnsi="Calibri"/>
          <w:b/>
          <w:color w:val="4A6B25"/>
          <w:sz w:val="20"/>
        </w:rPr>
        <w:t xml:space="preserve">3. </w:t>
      </w:r>
      <w:r>
        <w:rPr>
          <w:rFonts w:ascii="Calibri" w:hAnsi="Calibri"/>
          <w:b w:val="0"/>
          <w:color w:val="3A4A28"/>
          <w:sz w:val="20"/>
        </w:rPr>
        <w:t>Achievement of bizSAFE STAR safety certification, which could support larger institutional and government contract eligibility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FY2025 revenue declined 11.4% YoY and net losses grew 128.2% YoY, with negative ROE and profit margin indicating deteriorating, not improving, financial health</w:t>
      </w:r>
    </w:p>
    <w:p>
      <w:pPr>
        <w:spacing w:before="40" w:after="40"/>
        <w:ind w:left="283"/>
      </w:pPr>
      <w:r>
        <w:rPr>
          <w:rFonts w:ascii="Calibri" w:hAnsi="Calibri"/>
          <w:b/>
          <w:color w:val="4A6B25"/>
          <w:sz w:val="20"/>
        </w:rPr>
        <w:t xml:space="preserve">2. </w:t>
      </w:r>
      <w:r>
        <w:rPr>
          <w:rFonts w:ascii="Calibri" w:hAnsi="Calibri"/>
          <w:b w:val="0"/>
          <w:color w:val="3A4A28"/>
          <w:sz w:val="20"/>
        </w:rPr>
        <w:t>As a Cayman Islands-incorporated Nasdaq 'controlled company' with Avanta (BVI) Limited holding 60.87%/100% of Class A/B shares, minority shareholders have limited governance influence and face difficulty protecting their interests through U.S. courts</w:t>
      </w:r>
    </w:p>
    <w:p>
      <w:pPr>
        <w:spacing w:before="40" w:after="40"/>
        <w:ind w:left="283"/>
      </w:pPr>
      <w:r>
        <w:rPr>
          <w:rFonts w:ascii="Calibri" w:hAnsi="Calibri"/>
          <w:b/>
          <w:color w:val="4A6B25"/>
          <w:sz w:val="20"/>
        </w:rPr>
        <w:t xml:space="preserve">3. </w:t>
      </w:r>
      <w:r>
        <w:rPr>
          <w:rFonts w:ascii="Calibri" w:hAnsi="Calibri"/>
          <w:b w:val="0"/>
          <w:color w:val="3A4A28"/>
          <w:sz w:val="20"/>
        </w:rPr>
        <w:t>Recent diversification moves (solar MOU, materials distribution, drainage-technology license) are all early-stage and unproven at scale, offering no near-term offset to the core construction revenue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Physical residential and commercial construction — site work, project management, and regulatory compliance in Singapore — is not directly substitutable by AI, though design and administrative workflows could see gradual AI-tool adoption over time, and no analyst commentary specific to Springview's AI exposure was found given its small size and limited coverage. AI Opportunity (0/1): No evidence of AI-related revenue or product initiatives was found; the company's recent innovation activity (solar MOU, drainage-technology license) is unrelated to 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Springview Holdings Company Profile and Recent Contract Wins — GuruFocus, Bay to Bay News, ir.springviewggl.com,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Springview Holdings Financial Performance and Strategic Initiatives — GlobeNewswire, StockTitan, Bitget,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Springview Holdings Governance and Ownership Structure — SEC EDGAR filings, Renaissance Capital IPO profile,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Springview Holdings Financial Statistics and Statements — stockanalysis.com,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