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SQM</w:t>
      </w:r>
      <w:r>
        <w:rPr>
          <w:rFonts w:ascii="Calibri" w:hAnsi="Calibri"/>
          <w:b/>
          <w:color w:val="1A2010"/>
          <w:sz w:val="40"/>
        </w:rPr>
        <w:t xml:space="preserve">  Sociedad Quimica y Minera de Chile S.A.</w:t>
      </w:r>
    </w:p>
    <w:p>
      <w:pPr>
        <w:spacing w:after="120"/>
      </w:pPr>
      <w:r>
        <w:rPr>
          <w:rFonts w:ascii="Calibri" w:hAnsi="Calibri"/>
          <w:b/>
          <w:color w:val="6E8450"/>
          <w:sz w:val="18"/>
        </w:rPr>
        <w:t>GROWTH SLEEVE · 2026-08-02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Chile</w:t>
      </w:r>
    </w:p>
    <w:p>
      <w:pPr>
        <w:spacing w:after="80"/>
      </w:pPr>
      <w:r>
        <w:rPr>
          <w:rFonts w:ascii="Calibri" w:hAnsi="Calibri"/>
          <w:b w:val="0"/>
          <w:color w:val="3A4A28"/>
          <w:sz w:val="20"/>
        </w:rPr>
        <w:t>Sociedad Quimica y Minera de Chile (SQM) is a Chilean specialty chemicals and mining company and one of the world's largest lithium producers. The company operates across five business lines: lithium and derivatives, specialty plant nutrients, iodine and derivatives, potassium, and industrial chemicals. SQM extracts lithium from brine in Chile's Salar de Atacama through its Nova Andino Litio joint venture with state miner Codelco, formed in 2024.</w:t>
      </w:r>
    </w:p>
    <w:p>
      <w:r>
        <w:rPr>
          <w:rFonts w:ascii="Calibri" w:hAnsi="Calibri"/>
          <w:b/>
          <w:color w:val="6E8450"/>
          <w:sz w:val="18"/>
        </w:rPr>
        <w:t>8,344 Employees · https://www.sqm.com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SQM formed the Nova Andino Litio joint venture with state-owned Codelco in 2024-2025, transitioning from sole operator to a public-private partnership; this was a significant business model change but was largely regulatory-driven rather than innovation-led [1]. Record lithium sales volumes of 205,000+ metric tons in 2024 reflect operational scale, not product innovation. AI Deployment (0/2): No evidence of AI-powered products or quantified AI-driven operational savings; SQM relies on traditional solar evaporation brine extraction processes [1]. Market Share (2/2): SQM is a top-3 global lithium producer with dominant position in Chile's Salar de Atacama, the world's highest-quality lithium brine deposit, and holds leading positions in iodine (global top 2) and specialty plant nutrients [1][5]. Product Pipeline (1/2): Direct lithium extraction (DLE) technology is under exploration and Nova Andino capacity expansions are underway, but no specific next-generation products with firm launch dates or revenue targets have been announced [1]. R&amp;D Intensity (1/1): SQM invests meaningfully in process optimization and extraction technologies relative to mining industry peers, and the DLE research program represents above-average R&amp;D commitment for the sector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SQM frames its purpose around 'sustainable development and transformation of natural resources into products essential for human progress,' connecting mining to societal benefit through clean energy transition (lithium) and food production (plant nutrients) [4]. Clear but not distinctively different from peer mining companies. Community Impact (1/2): Nova Andino Litio generated over $530 million in contributions to the Chilean state in Q1 2026 alone, and SQM earned inclusion in the DJSI World, MILA, Chile, and Emerging Markets sustainability indices in 2024 [1][4]. However, the company faces ongoing criticism for water resource impacts on the Atacama ecosystem and indigenous community consultation processes [5]. Employee Retention (1/2): CEO Ricardo Ramos has served since January 2019 (in the company since 1989), and the management team averages 6 years tenure, suggesting reasonable organizational stability [2]. Workforce grew from 6,081 employees in 2021 to 8,344, reflecting operational expansion. Insider Buying (1/2): No standout net insider buying or selling; roughly neutral insider transaction activity for this Chilean ADR.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surged 69.8% YoY to $1,760.1 million with net income of $364.7 million (up 165.2%), driven by lithium price recovery and 25% volume growth from Nova Andino operating at full capacity [1]. Forward P/E of 8.27 and PEG of 0.17 reflect deep value relative to projected earnings growth from the lithium super-cycle recovery [3]. D/E of 63% is well within the 70% target, scoring 1.0. ROE of 13.4% is slightly below the 15% target (scoring 0.89 at 2x weight) but recovering from the 2024-2025 lithium price trough. Profit margin of 15.38% scores 0.77. Revenue growth 5yr CAGR of approximately 20% and YoY growth of 69.8% both cap at 1.0 [3]. Liquidity floor cleared: 933K avg volume x $67.06 = $62.5M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SQM demonstrates mixed infinite game characteristics. The company has operated for over 50 years and holds a multi-generational view of its mineral resources, reflecting endurance thinking. The Codelco partnership extending operations beyond current concession expirations shows long-term planning. However, the company's strategic decisions are primarily driven by commodity markets and regulatory requirements rather than an enduring Just Cause, and leadership language centers on production targets and cost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SQM's purpose around sustainable resource development connects mining to meaningful societal outcomes through the clean energy transition and global food production [4]. However, this cause is intertwined with resource extraction that has significant environmental impacts, and the Codelco JV was forced by Chilean government policy rather than driven by an enduring vision. The cause is partially lived but not the competitive advantage; SQM's advantage is geological, not purpose-driven.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Ricardo Ramos has served since 2019 with the company since 1989, and the management team averages 6 years tenure [2]. Recent board changes (new Chair Gina Ocqueteau Tacchini in 2025) proceeded orderly. No specific evidence of exceptional trust, empowerment programs, or culturally distinctive practices. The workforce of 8,344 employees operates across multiple divisions and geographies.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SQM operates alongside Albemarle, Ganfeng Lithium, and Pilbara Minerals, focusing on operational excellence and cost leadership rather than competitor destruction [1]. The partnership with Codelco, a potential rival for Chilean lithium control, demonstrates willingness to collaborate rather than fight. Management language emphasizes production efficiency and resource stewardship over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SQM has evolved meaningfully over its 50+ year history, originally focused on nitrate mining and fertilizers before pivoting into lithium production as EV demand emerged [5]. The transformation from a primarily agricultural chemicals company to one of the world's leading lithium producers represents significant strategic flexibility. The Codelco partnership is another structural adaptation. These were market-driven rather than cause-driven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SQM demonstrated pragmatic courage in accepting the Codelco JV terms (50% + 1 share to the state), sacrificing operational autonomy in exchange for multi-decade continuity beyond the 2030 concession expiration [1]. The company also raised its 2026 lithium sales guidance to 15% growth from 10%, signaling confidence in capital deployment during a volatile market. However, these decisions reflect market-driven pragmatism rather than principled sacrifice for a larger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SQM delivered a transformative Q1 2026 with revenue surging 69.8% to $1,760.1 million and net income jumping 165.2% to $364.7 million, driven by lithium price recovery and 25% volume growth from Nova Andino Litio operating at full capacity [1]. At a forward P/E of 8.27 and PEG of 0.17, SQM trades at deep value relative to projected earnings growth, with management raising 2026 lithium sales guidance to 15% growth [1][3]. The structural demand thesis remains intact: EV adoption acceleration, grid-scale energy storage buildout, and AI data center infrastructure all require lithium at increasing scale. SQM's position in the Salar de Atacama provides a durable cost advantage as the world's highest-quality lithium brine deposit, and the company holds diversified revenue streams across iodine, specialty fertilizers, and industrial chemicals [1].</w:t>
      </w:r>
    </w:p>
    <w:p>
      <w:pPr>
        <w:spacing w:after="120"/>
      </w:pPr>
      <w:r>
        <w:rPr>
          <w:rFonts w:ascii="Calibri" w:hAnsi="Calibri"/>
          <w:b w:val="0"/>
          <w:color w:val="3A4A28"/>
          <w:sz w:val="20"/>
        </w:rPr>
        <w:t>The primary risk is lithium price cyclicality: SQM's revenue collapsed from approximately $10.7 billion in 2022 to $4.5 billion in 2024 as lithium prices fell 70% from 2023 peaks, demonstrating extreme operating leverage embedded in the stock [3]. The trailing P/E of 25.5x reflects the recent earnings trough, but the market may be pricing in a recovery that could stall if lithium oversupply persists from Australian hard-rock mines, African projects, and Chinese DLE technology [5]. The Codelco JV introduces governance complexity with state co-ownership (50% + 1 share), constraining capital allocation flexibility and exposing the company to Chilean political risk around royalty rates and environmental concession terms [5]. China's Tianqi Lithium controlling a significant minority stake creates geopolitical tensions that could affect operational decisions. ROE of 13.4% remains below the 15% target, and profit margin of 15.38% is well below the 2022 peak when margins exceeded 35%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Lithium price recovery with average realized prices rising approximately 14% sequentially to about $10/kg in Q4 2025, with analysts projecting continued tightening through 2027 as EV demand outpaces supply expansion [1]</w:t>
      </w:r>
    </w:p>
    <w:p>
      <w:pPr>
        <w:spacing w:before="40" w:after="40"/>
        <w:ind w:left="283"/>
      </w:pPr>
      <w:r>
        <w:rPr>
          <w:rFonts w:ascii="Calibri" w:hAnsi="Calibri"/>
          <w:b/>
          <w:color w:val="4A6B25"/>
          <w:sz w:val="20"/>
        </w:rPr>
        <w:t xml:space="preserve">2. </w:t>
      </w:r>
      <w:r>
        <w:rPr>
          <w:rFonts w:ascii="Calibri" w:hAnsi="Calibri"/>
          <w:b w:val="0"/>
          <w:color w:val="3A4A28"/>
          <w:sz w:val="20"/>
        </w:rPr>
        <w:t>Nova Andino Litio JV operating at full capacity with record Q4 2025 volumes exceeding 66,000 metric tons, up 50% YoY, positioning for 15%+ annual volume growth in 2026 [1]</w:t>
      </w:r>
    </w:p>
    <w:p>
      <w:pPr>
        <w:spacing w:before="40" w:after="40"/>
        <w:ind w:left="283"/>
      </w:pPr>
      <w:r>
        <w:rPr>
          <w:rFonts w:ascii="Calibri" w:hAnsi="Calibri"/>
          <w:b/>
          <w:color w:val="4A6B25"/>
          <w:sz w:val="20"/>
        </w:rPr>
        <w:t xml:space="preserve">3. </w:t>
      </w:r>
      <w:r>
        <w:rPr>
          <w:rFonts w:ascii="Calibri" w:hAnsi="Calibri"/>
          <w:b w:val="0"/>
          <w:color w:val="3A4A28"/>
          <w:sz w:val="20"/>
        </w:rPr>
        <w:t>Chile's national lithium strategy targeting 70% increase in production capacity, with SQM as the primary beneficiary through its Salar de Atacama concession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Lithium price cyclicality remains extreme: 2022-2024 saw a 70% price decline that compressed SQM's revenue by 58%, and a repeat downcycle would severely impact profitability despite volume growth [3]</w:t>
      </w:r>
    </w:p>
    <w:p>
      <w:pPr>
        <w:spacing w:before="40" w:after="40"/>
        <w:ind w:left="283"/>
      </w:pPr>
      <w:r>
        <w:rPr>
          <w:rFonts w:ascii="Calibri" w:hAnsi="Calibri"/>
          <w:b/>
          <w:color w:val="4A6B25"/>
          <w:sz w:val="20"/>
        </w:rPr>
        <w:t xml:space="preserve">2. </w:t>
      </w:r>
      <w:r>
        <w:rPr>
          <w:rFonts w:ascii="Calibri" w:hAnsi="Calibri"/>
          <w:b w:val="0"/>
          <w:color w:val="3A4A28"/>
          <w:sz w:val="20"/>
        </w:rPr>
        <w:t>Codelco JV governance constrains SQM's capital allocation autonomy and exposes the company to Chilean political risk, particularly around royalty rates and environmental concession terms [5]</w:t>
      </w:r>
    </w:p>
    <w:p>
      <w:pPr>
        <w:spacing w:before="40" w:after="40"/>
        <w:ind w:left="283"/>
      </w:pPr>
      <w:r>
        <w:rPr>
          <w:rFonts w:ascii="Calibri" w:hAnsi="Calibri"/>
          <w:b/>
          <w:color w:val="4A6B25"/>
          <w:sz w:val="20"/>
        </w:rPr>
        <w:t xml:space="preserve">3. </w:t>
      </w:r>
      <w:r>
        <w:rPr>
          <w:rFonts w:ascii="Calibri" w:hAnsi="Calibri"/>
          <w:b w:val="0"/>
          <w:color w:val="3A4A28"/>
          <w:sz w:val="20"/>
        </w:rPr>
        <w:t>DLE technology commercialization by competitors (Albemarle, Livent, startups) could unlock lower-cost lithium extraction from unconventional deposits, eroding SQM's brine-based cost advantage over the long term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SQM's core business of lithium extraction from the Salar de Atacama involves physical-world mining operations, solar evaporation systems, and chemical processing that AI structurally cannot displace [1]. AI actually increases demand for SQM's primary product: lithium-ion batteries power AI data center backup systems, electric vehicles, and energy storage for the grid infrastructure supporting AI compute. Cloud providers projected to spend $600 billion on AI infrastructure in 2026, indirectly driving lithium demand. The cost advantage from the world's highest-quality brine deposit is a physical moat no AI can replicate. Minor risk: DLE technology advancements (potentially AI-optimized) could enable competitors to extract lithium from lower-quality deposits [5]. AI Opportunity (0/1): SQM does not generate revenue from AI-related products or services; it is a commodity input supplier to the broader technology value chain.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SQM Q1 2026 Earnings Release — $1,760.1M revenue (+69.8% YoY), $364.7M net income (+165.2%), raised 2026 volume guidance to 15%; SEC 6-K Filing, May 2026</w:t>
      </w:r>
    </w:p>
    <w:p>
      <w:pPr>
        <w:spacing w:before="20" w:after="20"/>
        <w:ind w:left="170"/>
      </w:pPr>
      <w:r>
        <w:rPr>
          <w:rFonts w:ascii="Calibri" w:hAnsi="Calibri"/>
          <w:b/>
          <w:color w:val="4A6B25"/>
          <w:sz w:val="15"/>
        </w:rPr>
        <w:t xml:space="preserve">2. </w:t>
      </w:r>
      <w:r>
        <w:rPr>
          <w:rFonts w:ascii="Calibri" w:hAnsi="Calibri"/>
          <w:b w:val="0"/>
          <w:color w:val="3A4A28"/>
          <w:sz w:val="17"/>
        </w:rPr>
        <w:t>SQM Leadership — CEO Ricardo Ramos (since Jan 2019, at SQM since 1989), new Board Chair Gina Ocqueteau Tacchini (May 2025); Simply Wall St, TipRanks,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SQM Financial Statistics: Forward P/E 8.27, PEG 0.17, D/E 63%, ROE 13.4%;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SQM 2024 Sustainability Report — DJSI World inclusion, environmental policy, community contributions; sqmlitio.com</w:t>
      </w:r>
    </w:p>
    <w:p>
      <w:pPr>
        <w:spacing w:before="20" w:after="20"/>
        <w:ind w:left="170"/>
      </w:pPr>
      <w:r>
        <w:rPr>
          <w:rFonts w:ascii="Calibri" w:hAnsi="Calibri"/>
          <w:b/>
          <w:color w:val="4A6B25"/>
          <w:sz w:val="15"/>
        </w:rPr>
        <w:t xml:space="preserve">5. </w:t>
      </w:r>
      <w:r>
        <w:rPr>
          <w:rFonts w:ascii="Calibri" w:hAnsi="Calibri"/>
          <w:b w:val="0"/>
          <w:color w:val="3A4A28"/>
          <w:sz w:val="17"/>
        </w:rPr>
        <w:t>Columbia Climate Law Blog — 'Chile's Lithium Boom: A Green Revolution or Environmental Ruin?', governance of Nova Andino Litio partnership, Tianqi Lithium stake tensions; May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