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SRAD</w:t>
      </w:r>
      <w:r>
        <w:rPr>
          <w:rFonts w:ascii="Calibri" w:hAnsi="Calibri"/>
          <w:b/>
          <w:color w:val="1A2010"/>
          <w:sz w:val="40"/>
        </w:rPr>
        <w:t xml:space="preserve">  Sportradar Group AG</w:t>
      </w:r>
    </w:p>
    <w:p>
      <w:pPr>
        <w:spacing w:after="120"/>
      </w:pPr>
      <w:r>
        <w:rPr>
          <w:rFonts w:ascii="Calibri" w:hAnsi="Calibri"/>
          <w:b/>
          <w:color w:val="6E8450"/>
          <w:sz w:val="18"/>
        </w:rPr>
        <w:t>GROWTH SLEEVE · 2026-07-12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Gambling, Resorts &amp; Casinos · NASDAQ · Switzerland</w:t>
      </w:r>
    </w:p>
    <w:p>
      <w:pPr>
        <w:spacing w:after="80"/>
      </w:pPr>
      <w:r>
        <w:rPr>
          <w:rFonts w:ascii="Calibri" w:hAnsi="Calibri"/>
          <w:b w:val="0"/>
          <w:color w:val="3A4A28"/>
          <w:sz w:val="20"/>
        </w:rPr>
        <w:t>Sportradar is a global leader in sports technology providing data, content, and integrity services to bookmakers, sports federations, and media companies. The company powers sports betting technology, streaming, and AI-driven content across more than 900 sports betting operators worldwide and holds exclusive data partnerships with the NBA, NFL, NHL, MLB, ATP, and FIFA. Covers 900,000+ events annually across 80+ sports. Employs 150+ AI scientists and engineers.</w:t>
      </w:r>
    </w:p>
    <w:p>
      <w:r>
        <w:rPr>
          <w:rFonts w:ascii="Calibri" w:hAnsi="Calibri"/>
          <w:b/>
          <w:color w:val="6E8450"/>
          <w:sz w:val="18"/>
        </w:rPr>
        <w:t>4,500 Employees · https://www.sportradar.com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Sportradar transformed from a sports data aggregator to a full-stack sports tech platform, delivering Q1 2026 revenue of EUR346.5M (+11% reported, +16% constant currency) with Betting Technology &amp; Solutions climbing 15% to EUR287.6M [1]. The IMG ARENA acquisition integration is driving incremental growth, and the FIFA data rights renewal anchors the next growth leg. AI Deployment (2/2): CEO Koerl's 'AI-first' mandate is backed by 150+ AI scientists and engineers across 100+ use cases [2]. CTO/CAIO Behshad Behzadi (former Google Assistant co-founder) is deploying generative AI for predictive models, live streaming personalization, computer vision for automated data capture, and integrity monitoring [2]. Market Share (2/2): Sportradar is the dominant global sports data integrator, described as the 'operating system for sports data,' holding exclusive multi-year rights with NBA, NFL, NHL, MLB, ATP, IOC, and FIFA, covering 900+ bookmakers and streaming 525,000+ matches with plans to exceed 700,000 in 2026 [1][2]. Product Pipeline (1/2): 2026 guidance of 23-25% constant-currency revenue growth (EUR1,557-1,582M) and 34-37% EBITDA growth shows visible acceleration, but long-dated pipeline visibility is limited by rights renewal cycles [1]. R&amp;D Intensity (0/1): R&amp;D spend is not separately disclosed at a premium to SaaS peers; most tech investment is embedded in content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Sportradar's vision to become 'the engine of the sports world' is clear and connects the data business to broader sports technology transformation, but remains commercially focused without deeper societal purpose beyond integrity services [2]. Founder-CEO Carsten Koerl has led since 2001, lending continuity. Community Impact (1/2): Sportradar's Integrity Services combat match-fixing globally, partnering with 120+ organizations including the UN Office on Drugs and Crime since 2004 — a meaningful contribution to fair sport [3]. No specific dollar-scale charitable foundation disclosed. Employee Retention (0/2): No above-average retention data available; culture reviews suggest mixed employee satisfaction, though the founder-CEO's 25-year tenure demonstrates leadership continuity [2]. Insider Buying (1/2): Koerl remains a major shareholder with significant equity stake. The board authorized a total $1.0 billion share repurchase plan including a new $250 million enhanced open market program in April 2026 [1], signaling capital discipline, though no net insider purchases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pristine — D/E of 7% with EUR542M liquidity and no net debt as of March 31, 2026 [1]. Q1 2026 free cash flow of EUR44M (+38% YoY) demonstrates improving cash conversion [1]. ROE of 7.42% is below the 15% target but improving as margin expansion accelerates; ROIC of 14.86% signals strong unit economics [4]. Revenue growth of 11% reported (16% CC) in Q1 2026 with full-year guidance of 23-25% CC growth is strong [1]. Forward P/E of 23.06 is above the 20 target but reasonable given growth profile. Profit margin of 5.27% is thin but scaling with operating leverage [4]. Forward PEG of 1.86 is above the 1.0 target but not at the 3.0 floor [4]. Q1 2026 showed a EUR6.3M net loss due to EUR9.3M FX impact and higher amortization from IMG ARENA acquisition [1]. Liquidity floor easily cleared: avg daily volume ~3M shares x $13.04 = ~$39M.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Sportradar is a long-duration founder-led business with an expansive vision and 25-year league partnerships that imply infinite-horizon thinking. Koerl's consistent leadership since 2001, investment in AI capabilities, and exclusive data rights demonstrate building to endure. However, dependence on the gambling industry, mixed employee culture signals, and a competitive stance focused more on rights domination than collaborative improvement pull the score toward MIXED.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Carsten Koerl has held the helm since founding in 2001, pursuing the vision of becoming 'the engine of the sports world' across two decades, multiple sports rights cycles, and the 2021 IPO transition [2]. The Integrity Services division, combating match-fixing with 120+ organizations since 2004, adds genuine societal purpose [3]. However, the business is fundamentally intertwined with the gambling industry, which limits the loftiness of the Just Cause in Sinek's framework. The cause has been consistent but not yet validated through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founder-CEO's 25-year tenure provides exceptional leadership continuity, and the hiring of Behshad Behzadi from Google as CTO/CAIO suggests ability to attract top talent [2]. The company has grown to 4,500+ employees across multiple countries. However, no specific data on exceptional employee retention or psychological safety practices is available. The rapid growth and acquisitions (IMG ARENA) create integration challenges typical of scaling organizations.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Koerl stated 'we want to stay curious,' framing competition as motivation for improvement rather than warfare [2]. Sportradar's competitive approach focuses on building the best technology platform and deepening league partnerships, rather than explicit competitor destruction. The company acknowledges rivals like Genius Sports while investing in differentiation through AI capabilities and data quality rather than negative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Sportradar evolved from a pure data feed provider to a full-stack betting technology, streaming, AI, and integrity-services platform over 25 years [1][2]. The IMG ARENA acquisition and expansion into prediction markets show willingness to adapt. However, these represent incremental platform extensions rather than the transformative bet-the-company pivot that Sinek's framework rewards with the highest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Koerl's long-term investments in AI leadership (hiring Behzadi from Google), multi-year league rights renewals (FIFA, NBA extensions), and the $1B share buyback program show willingness to invest for the long term [1][2]. The IMG ARENA acquisition during market uncertainty demonstrated capital allocation courage. However, the persistent reliance on gambling revenue and lack of diversification into non-gambling sports technology suggests leadership hasn't yet made the hard choice to reduce dependency on the industry's most controversial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Sportradar is the dominant global sports technology integrator, delivering Q1 2026 revenue of EUR346.5M (+11% reported, +16% CC) with Adjusted EBITDA of EUR66M (+12%) and free cash flow of EUR44M (+38%) [1]. The 2026 full-year guidance of 23-25% constant-currency revenue growth to EUR1,557-1,582M represents acceleration from 2025's 17% growth, driven by IMG ARENA integration, Betting Technology expansion (+15% in Q1), and AI-powered product innovation across 150+ AI scientists with 100+ use cases [1][2]. A pristine balance sheet (EUR542M liquidity, D/E 7%, no net debt) and $1B total authorized share buyback including a new $250M enhanced program signal capital discipline [1]. Exclusive multi-year data rights with NBA, NFL, NHL, MLB, ATP, IOC, and FIFA create a structural moat that competitors cannot replicate through AI alone.</w:t>
      </w:r>
    </w:p>
    <w:p>
      <w:pPr>
        <w:spacing w:after="120"/>
      </w:pPr>
      <w:r>
        <w:rPr>
          <w:rFonts w:ascii="Calibri" w:hAnsi="Calibri"/>
          <w:b w:val="0"/>
          <w:color w:val="3A4A28"/>
          <w:sz w:val="20"/>
        </w:rPr>
        <w:t>The bear case centers on valuation compression, FX sensitivity, and gambling dependency. The stock has declined 44.6% over the past 52 weeks to $13.04 despite strong operational execution, reflecting market skepticism about the forward multiple (23x forward P/E, PEG 1.86) in a rising-rate environment [4]. Q1 2026 showed a EUR6.3M net loss driven by EUR9.3M FX headwinds and higher acquisition-related amortization, highlighting sensitivity to EUR/USD movements on a predominantly Euro-denominated revenue base [1]. Net profit margin of 5.27% and ROE of 7.42% remain below IOWN targets despite improving trajectories [4]. The revenue base is concentrated in regulated sports betting, exposing Sportradar to jurisdictional gambling taxes, regulatory crackdowns, and rights-cost inflation as leagues extract more value at renewal. The Inspire negative attribution for 'Gambling' keeps the faith-alignment label MIXED, and the societal concerns around problem gambling create reputational overhang for mission-driven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full-year guidance of 23-25% constant-currency revenue growth and 34-37% Adjusted EBITDA growth with margin expansion, driven by IMG ARENA integration and Betting Technology momentum</w:t>
      </w:r>
    </w:p>
    <w:p>
      <w:pPr>
        <w:spacing w:before="40" w:after="40"/>
        <w:ind w:left="283"/>
      </w:pPr>
      <w:r>
        <w:rPr>
          <w:rFonts w:ascii="Calibri" w:hAnsi="Calibri"/>
          <w:b/>
          <w:color w:val="4A6B25"/>
          <w:sz w:val="20"/>
        </w:rPr>
        <w:t xml:space="preserve">2. </w:t>
      </w:r>
      <w:r>
        <w:rPr>
          <w:rFonts w:ascii="Calibri" w:hAnsi="Calibri"/>
          <w:b w:val="0"/>
          <w:color w:val="3A4A28"/>
          <w:sz w:val="20"/>
        </w:rPr>
        <w:t>AI-native product expansion under CTO/CAIO Behshad Behzadi — prediction markets, personalized streaming, automated content, and computer vision across 700K+ streamed events in 2026</w:t>
      </w:r>
    </w:p>
    <w:p>
      <w:pPr>
        <w:spacing w:before="40" w:after="40"/>
        <w:ind w:left="283"/>
      </w:pPr>
      <w:r>
        <w:rPr>
          <w:rFonts w:ascii="Calibri" w:hAnsi="Calibri"/>
          <w:b/>
          <w:color w:val="4A6B25"/>
          <w:sz w:val="20"/>
        </w:rPr>
        <w:t xml:space="preserve">3. </w:t>
      </w:r>
      <w:r>
        <w:rPr>
          <w:rFonts w:ascii="Calibri" w:hAnsi="Calibri"/>
          <w:b w:val="0"/>
          <w:color w:val="3A4A28"/>
          <w:sz w:val="20"/>
        </w:rPr>
        <w:t>$1B total authorized share repurchase program including new $250M enhanced open market program, supported by EUR542M liquidity and strong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FX and profitability pressure — EUR9.3M Q1 FX loss drove net loss of EUR6.3M, and net margin of 5.27% / ROE of 7.42% remain well below IOWN targets despite revenue scale</w:t>
      </w:r>
    </w:p>
    <w:p>
      <w:pPr>
        <w:spacing w:before="40" w:after="40"/>
        <w:ind w:left="283"/>
      </w:pPr>
      <w:r>
        <w:rPr>
          <w:rFonts w:ascii="Calibri" w:hAnsi="Calibri"/>
          <w:b/>
          <w:color w:val="4A6B25"/>
          <w:sz w:val="20"/>
        </w:rPr>
        <w:t xml:space="preserve">2. </w:t>
      </w:r>
      <w:r>
        <w:rPr>
          <w:rFonts w:ascii="Calibri" w:hAnsi="Calibri"/>
          <w:b w:val="0"/>
          <w:color w:val="3A4A28"/>
          <w:sz w:val="20"/>
        </w:rPr>
        <w:t>Gambling regulatory risk — new remote gaming duties, US state-by-state taxation, and potential prediction-market crackdowns could compress bookmaker margins and Sportradar's economics</w:t>
      </w:r>
    </w:p>
    <w:p>
      <w:pPr>
        <w:spacing w:before="40" w:after="40"/>
        <w:ind w:left="283"/>
      </w:pPr>
      <w:r>
        <w:rPr>
          <w:rFonts w:ascii="Calibri" w:hAnsi="Calibri"/>
          <w:b/>
          <w:color w:val="4A6B25"/>
          <w:sz w:val="20"/>
        </w:rPr>
        <w:t xml:space="preserve">3. </w:t>
      </w:r>
      <w:r>
        <w:rPr>
          <w:rFonts w:ascii="Calibri" w:hAnsi="Calibri"/>
          <w:b w:val="0"/>
          <w:color w:val="3A4A28"/>
          <w:sz w:val="20"/>
        </w:rPr>
        <w:t>Rights cost inflation — league renewals (NBA, NFL, FIFA) extract increasing economics from data partners, and failure to pass through costs to bookmakers would squeeze gross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Sportradar is not disrupted by AI — it IS an AI-driven sports data and integrity platform. The business depends on exclusive multi-year rights contracts with leagues (NBA, NFL, NHL, MLB, ATP, FIFA) that AI tools cannot replicate, and real-time live data ingestion, computer vision, and integrity fraud detection are AI-native workflows [1][2]. The moat is the combination of exclusive data access (contractual) and AI-powered processing (technological), creating a structural barrier that pure AI cannot overcome without the underlying data rights. CEO Koerl's 'AI-first' mandate and the appointment of a Google Assistant co-founder as CTO/CAIO signals AI is offense, not defense [2]. AI Opportunity (1/1): Sportradar actively generates AI revenue through predictive modeling products, AI-driven automated content (match recaps, personalized streaming), computer vision for live data capture across 900K+ events, and integrity monitoring services — AI is embedded throughout the revenue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Sportradar Q1 2026 Earnings Release — EUR346.5M revenue (+11%), EUR66M Adj EBITDA (+12%), EUR44M FCF (+38%), $250M buyback, April 28, 2026</w:t>
      </w:r>
    </w:p>
    <w:p>
      <w:pPr>
        <w:spacing w:before="20" w:after="20"/>
        <w:ind w:left="170"/>
      </w:pPr>
      <w:r>
        <w:rPr>
          <w:rFonts w:ascii="Calibri" w:hAnsi="Calibri"/>
          <w:b/>
          <w:color w:val="4A6B25"/>
          <w:sz w:val="15"/>
        </w:rPr>
        <w:t xml:space="preserve">2. </w:t>
      </w:r>
      <w:r>
        <w:rPr>
          <w:rFonts w:ascii="Calibri" w:hAnsi="Calibri"/>
          <w:b w:val="0"/>
          <w:color w:val="3A4A28"/>
          <w:sz w:val="17"/>
        </w:rPr>
        <w:t>Sportradar Corporate — CEO Koerl commentary, CTO/CAIO Behshad Behzadi (ex-Google) appointment, AI-first strategy, 150+ AI engineers,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Sportradar ESG/Integrity Services — Match-fixing monitoring with 120+ organizations since 2004, IOC partnership, sportradar.com/esg,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SRAD: $13.04 price, Forward P/E 23.06, PEG 1.86, D/E 7%, ROE 7.42%, Profit Margin 5.27%,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