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SSL</w:t>
      </w:r>
      <w:r>
        <w:rPr>
          <w:rFonts w:ascii="Calibri" w:hAnsi="Calibri"/>
          <w:b/>
          <w:color w:val="1A2010"/>
          <w:sz w:val="40"/>
        </w:rPr>
        <w:t xml:space="preserve">  Sasol Limited</w:t>
      </w:r>
    </w:p>
    <w:p>
      <w:pPr>
        <w:spacing w:after="120"/>
      </w:pPr>
      <w:r>
        <w:rPr>
          <w:rFonts w:ascii="Calibri" w:hAnsi="Calibri"/>
          <w:b/>
          <w:color w:val="6E8450"/>
          <w:sz w:val="18"/>
        </w:rPr>
        <w:t>GROWTH SLEEVE · 2026-07-14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Diversified Chemicals · NYSE · South Africa</w:t>
      </w:r>
    </w:p>
    <w:p>
      <w:pPr>
        <w:spacing w:after="80"/>
      </w:pPr>
      <w:r>
        <w:rPr>
          <w:rFonts w:ascii="Calibri" w:hAnsi="Calibri"/>
          <w:b w:val="0"/>
          <w:color w:val="3A4A28"/>
          <w:sz w:val="20"/>
        </w:rPr>
        <w:t>Sasol Limited is an integrated chemicals and energy company based in South Africa. The company develops and commercializes technologies including its proprietary Fischer-Tropsch process for converting gas and coal into liquid fuels, chemicals, and low-carbon electricity. Sasol operates across the hydrocarbon value chain, producing fuels, chemicals, and low-carbon solutions, with operations in South Africa, Mozambique, and the United States (Lake Charles, Louisiana). The company serves agriculture, construction, health, and industrial markets globally.</w:t>
      </w:r>
    </w:p>
    <w:p>
      <w:r>
        <w:rPr>
          <w:rFonts w:ascii="Calibri" w:hAnsi="Calibri"/>
          <w:b/>
          <w:color w:val="6E8450"/>
          <w:sz w:val="18"/>
        </w:rPr>
        <w:t>27,107 Employees · https://www.sasol.com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Sasol has not launched any transformative new products in the last five years. The business model remains anchored to the same Fischer-Tropsch gas-to-liquids and coal-to-liquids technology developed decades ago. The Lake Charles Chemicals Project, completed in 2020 after massive cost overruns (originally $8.9B, final cost ~$12.8B), was an expansion of existing capability rather than a new business line [1][5]. AI Deployment (1/2): Sasol's Group CIO Lungile Mginqi initiated a generative AI exploration program, identifying 10 use cases, and the company appointed Sne Dlamini as group chief information and digital officer effective June 2026, signaling digital commitment [4]. However, no AI-driven revenue or quantified cost savings have been reported. Market Share (1/2): Sasol is the dominant synthetic fuels producer in South Africa and a meaningful global chemicals player, but it competes against much larger diversified chemical companies (BASF, Dow, LyondellBasell) globally and lacks category leadership in any major international chemicals market [1]. Product Pipeline (0/2): No specific next-generation products with launch dates and revenue visibility have been announced. The company discusses lower-carbon solutions and green hydrogen ambitions but without concrete timelines. R&amp;D Intensity (0/1): R&amp;D spending as a percentage of revenue is below the chemicals industry average, with the company relying heavily on its legacy Fischer-Tropsch technology platform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Sasol's stated purpose is "Innovating for a better world," supported by values of safety, people, integrity, accountability, and stakeholder focus [3]. The purpose is clear and identifies what the company aspires to, but it is not deeply distinctive — it could apply to many industrial companies. It does not articulate a transformative vision of a future state. Community Impact (1/2): Sasol invests in community development programs in South Africa, including education, skills development, and enterprise development in host communities near its Secunda and Sasolburg operations. The company has foundation-level charitable programs but no standout, quantified community investment was identified [3]. Employee Retention (0/2): No specific employee retention or tenure data was found. The company has 27,107 employees, but voluntary turnover rates are not publicly disclosed. Insider Buying (0/2): No insider buying was identified. EVP Sarushen Dhanapalan Pillay sold 2,182 shares at $13.14 in May 2026 [2]. Net insider sentiment is negative.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Sasol's FY2025 annual revenue was $14.0B, declining 6.3% year-over-year due to lower Brent crude and chemicals prices [1]. H1 FY2026 showed adjusted EBITDA of R21.0 billion (down 12%) and EBIT of R4.6 billion (down 52%), with impairments of R7.8 billion reflecting the challenging commodity environment [5]. Profit margin of 0.97% and ROE of 2.47% are deeply depressed by the cyclical trough, yet the balance sheet remains manageable with D/E of 70% at the target threshold and $2.02B cash against $6.67B total debt [2]. The standout metric is the forward P/E of 4.58, reflecting analyst expectations of substantial earnings recovery as commodity prices normalize — this drives the forward PEG to an estimated 0.75, well below the 1.0 target [2]. Revenue growth 5yr CAGR of approximately 2% reflects the volatility of commodity-driven businesses with ZAR/USD translation effects.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Sasol operates with a largely finite mindset, focused on near-term earnings recovery and commodity price cycles rather than a transcendent purpose. The company's strategic decisions are driven by survival imperatives — managing the Lake Charles cost overruns, navigating declining oil prices, and balancing the transition from coal dependence — rather than a clearly articulated Just Cause. While the "Innovating for a better world" purpose statement exists, it has not been validated through decades of consistent strategic decisions tracing back to it.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Sasol's purpose "Innovating for a better world" exists but reads as a shallow corporate tagline rather than a deeply lived Just Cause [3]. The company's strategic history — coal-to-liquids technology during apartheid-era sanctions, massive cost overruns on Lake Charles, and ongoing dependence on fossil fuel commodity prices — does not trace back to an inspiring vision of a future state. Leadership does not consistently reference this purpose in strategic decisions. Sinek would identify this as a company without a genuine Just Cause — it exists to produce chemicals and fuels, not to advance a larger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Sasol's leadership describes a culture of "inclusivity, high performance and radical candour" through its "Licence to Lead" programme [4]. CEO Simon Baloyi, appointed April 2024, brings operational experience from within the company. The organization appears stable without major cultural red flags, but no evidence of exceptional trust or empowerment was found. Average for a large industrial company.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Sasol acknowledging competitors' strengths or using competitive pressure as motivation for self-improvement. The company's competitive positioning is more about its unique Fischer-Tropsch technology niche than about learning from rivals like BASF, Dow, or Shell.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Sasol has made incremental adaptations over time — evolving from a coal-focused South African company to a more diversified energy and chemicals company with global operations including the US Lake Charles facility [1]. The company discusses green hydrogen and lower-carbon solutions as future directions. However, no transformative pivot has been executed; the core Fischer-Tropsch technology has been the backbone for over 70 years. The adaptations have been incremental, not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Lake Charles Chemicals Project, despite its massive cost overruns (originally $8.9B, final ~$12.8B), represented a courageous bet to expand Sasol's operations into the US market and diversify away from South African dependence [1]. CEO transitions have been managed internally. However, the company's strategic direction largely follows commodity price cycles rather than making bold counter-cyclical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Sasol trades at an exceptionally low forward P/E of 4.58 with a forward PEG of ~0.75, reflecting deeply compressed earnings at the bottom of a commodity cycle [2]. The stock price of $10.89 has surged 110.6% over the past 52 weeks as investors anticipate earnings normalization from higher oil/chemicals prices and operational improvements. H1 FY2026 showed revenue resilience with turnover of R122.4 billion, while fuel sales volumes were revised upward 10-15% above FY2025 levels [5]. The balance sheet is manageable at 70% D/E with $2.02B cash, and the forward earnings potential is substantial — analysts project ROE of 293% in a normalized environment. The Fischer-Tropsch technology platform remains globally unique, and the Lake Charles facility provides US dollar-denominated earnings diversification.</w:t>
      </w:r>
    </w:p>
    <w:p>
      <w:pPr>
        <w:spacing w:after="120"/>
      </w:pPr>
      <w:r>
        <w:rPr>
          <w:rFonts w:ascii="Calibri" w:hAnsi="Calibri"/>
          <w:b w:val="0"/>
          <w:color w:val="3A4A28"/>
          <w:sz w:val="20"/>
        </w:rPr>
        <w:t>The bear case centers on Sasol's structural challenges: profit margin of just 0.97% and ROE of 2.47% reflect a business that cannot generate acceptable returns at current commodity prices [2]. H1 FY2026 EBITDA declined 12% and EBIT fell 52%, with R7.8 billion in impairments highlighting asset quality concerns [5]. The company's dependence on Brent crude, chemicals prices, and ZAR/USD exchange rates creates triple commodity/currency exposure with no hedging offset. Sasol's coal-based Secunda operations face long-term carbon transition risk, and the $750M notes offering in April 2026 sent the stock tumbling, signaling ongoing capital needs. The absence of dividend payments, insider selling, and lack of innovation pipeline suggest limited near-term catalysts beyond commodity price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Brent crude recovery above $80/barrel and chemicals price normalization driving forward P/E of 4.58 toward earnings power of ~$2.38 per ADR, representing potential 10x earnings expansion from depressed FY2025 levels</w:t>
      </w:r>
    </w:p>
    <w:p>
      <w:pPr>
        <w:spacing w:before="40" w:after="40"/>
        <w:ind w:left="283"/>
      </w:pPr>
      <w:r>
        <w:rPr>
          <w:rFonts w:ascii="Calibri" w:hAnsi="Calibri"/>
          <w:b/>
          <w:color w:val="4A6B25"/>
          <w:sz w:val="20"/>
        </w:rPr>
        <w:t xml:space="preserve">2. </w:t>
      </w:r>
      <w:r>
        <w:rPr>
          <w:rFonts w:ascii="Calibri" w:hAnsi="Calibri"/>
          <w:b w:val="0"/>
          <w:color w:val="3A4A28"/>
          <w:sz w:val="20"/>
        </w:rPr>
        <w:t>Fuel sales volume growth of 10-15% above FY2025 levels, as guided by management in H1 FY2026 results, indicating operational momentum despite commodity headwinds</w:t>
      </w:r>
    </w:p>
    <w:p>
      <w:pPr>
        <w:spacing w:before="40" w:after="40"/>
        <w:ind w:left="283"/>
      </w:pPr>
      <w:r>
        <w:rPr>
          <w:rFonts w:ascii="Calibri" w:hAnsi="Calibri"/>
          <w:b/>
          <w:color w:val="4A6B25"/>
          <w:sz w:val="20"/>
        </w:rPr>
        <w:t xml:space="preserve">3. </w:t>
      </w:r>
      <w:r>
        <w:rPr>
          <w:rFonts w:ascii="Calibri" w:hAnsi="Calibri"/>
          <w:b w:val="0"/>
          <w:color w:val="3A4A28"/>
          <w:sz w:val="20"/>
        </w:rPr>
        <w:t>Appointment of new Chief Information and Digital Officer Sne Dlamini (June 2026) catalyzing digital transformation and operational efficiency initiatives across the R122.4B revenue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low oil and chemicals prices below $70 Brent could keep ROE near 2.5% and profit margins below 1%, rendering the cheap forward P/E a value trap rather than a recovery opportunity</w:t>
      </w:r>
    </w:p>
    <w:p>
      <w:pPr>
        <w:spacing w:before="40" w:after="40"/>
        <w:ind w:left="283"/>
      </w:pPr>
      <w:r>
        <w:rPr>
          <w:rFonts w:ascii="Calibri" w:hAnsi="Calibri"/>
          <w:b/>
          <w:color w:val="4A6B25"/>
          <w:sz w:val="20"/>
        </w:rPr>
        <w:t xml:space="preserve">2. </w:t>
      </w:r>
      <w:r>
        <w:rPr>
          <w:rFonts w:ascii="Calibri" w:hAnsi="Calibri"/>
          <w:b w:val="0"/>
          <w:color w:val="3A4A28"/>
          <w:sz w:val="20"/>
        </w:rPr>
        <w:t>Carbon transition risk to coal-based Secunda operations in South Africa, which represent the majority of the company's integrated value chain and face regulatory and social pressure for decarbonization</w:t>
      </w:r>
    </w:p>
    <w:p>
      <w:pPr>
        <w:spacing w:before="40" w:after="40"/>
        <w:ind w:left="283"/>
      </w:pPr>
      <w:r>
        <w:rPr>
          <w:rFonts w:ascii="Calibri" w:hAnsi="Calibri"/>
          <w:b/>
          <w:color w:val="4A6B25"/>
          <w:sz w:val="20"/>
        </w:rPr>
        <w:t xml:space="preserve">3. </w:t>
      </w:r>
      <w:r>
        <w:rPr>
          <w:rFonts w:ascii="Calibri" w:hAnsi="Calibri"/>
          <w:b w:val="0"/>
          <w:color w:val="3A4A28"/>
          <w:sz w:val="20"/>
        </w:rPr>
        <w:t>ZAR/USD currency volatility and South African political/regulatory risk, including load-shedding energy disruptions and potential changes to mining royalties or carbon taxes, creating unhedgeable macro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Sasol's core business — chemical manufacturing via Fischer-Tropsch synthesis, mining operations, fuel refining, and energy production — is deeply physical-world and structurally immune to AI disruption [1]. Chemical processes require real catalysts, real feedstocks, real temperature and pressure conditions that AI cannot virtualize or substitute. The company's 27,107 employees operate complex petrochemical plants, coal mines, and gas extraction operations that require physical presence and engineering expertise. If anything, increased AI adoption across the economy drives incremental energy and chemicals demand (AI data centers consume electricity and cooling chemicals). No analyst has flagged AI as a substitution risk for Sasol's business. AI Opportunity (0/1): Sasol's AI exploration program under CIO Lungile Mginqi identified 10 use cases for generative AI, and the appointment of a new Chief Information and Digital Officer in June 2026 signals intent [4]. However, no AI-driven revenue or quantified operational savings have been reported to date.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Sasol H1 FY2026 Financial Results and FY2025 Annual Report — sasol.com Investor Centre, 2025-2026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SSL Key Statistics and Valuation Metrics,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Sasol Purpose and Values — sasol.com/who-we-are/purpose-and-values</w:t>
      </w:r>
    </w:p>
    <w:p>
      <w:pPr>
        <w:spacing w:before="20" w:after="20"/>
        <w:ind w:left="170"/>
      </w:pPr>
      <w:r>
        <w:rPr>
          <w:rFonts w:ascii="Calibri" w:hAnsi="Calibri"/>
          <w:b/>
          <w:color w:val="4A6B25"/>
          <w:sz w:val="15"/>
        </w:rPr>
        <w:t xml:space="preserve">4. </w:t>
      </w:r>
      <w:r>
        <w:rPr>
          <w:rFonts w:ascii="Calibri" w:hAnsi="Calibri"/>
          <w:b w:val="0"/>
          <w:color w:val="3A4A28"/>
          <w:sz w:val="17"/>
        </w:rPr>
        <w:t>CIO South Africa — Sasol AI and Digital Transformation Coverage, Sne Dlamini Appointment June 2026</w:t>
      </w:r>
    </w:p>
    <w:p>
      <w:pPr>
        <w:spacing w:before="20" w:after="20"/>
        <w:ind w:left="170"/>
      </w:pPr>
      <w:r>
        <w:rPr>
          <w:rFonts w:ascii="Calibri" w:hAnsi="Calibri"/>
          <w:b/>
          <w:color w:val="4A6B25"/>
          <w:sz w:val="15"/>
        </w:rPr>
        <w:t xml:space="preserve">5. </w:t>
      </w:r>
      <w:r>
        <w:rPr>
          <w:rFonts w:ascii="Calibri" w:hAnsi="Calibri"/>
          <w:b w:val="0"/>
          <w:color w:val="3A4A28"/>
          <w:sz w:val="17"/>
        </w:rPr>
        <w:t>Sasol Q2 2026 Earnings Release — QuiverQuantitative, H1 FY2026 Results Summary</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