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STGW</w:t>
      </w:r>
      <w:r>
        <w:rPr>
          <w:rFonts w:ascii="Calibri" w:hAnsi="Calibri"/>
          <w:b/>
          <w:color w:val="1A2010"/>
          <w:sz w:val="40"/>
        </w:rPr>
        <w:t xml:space="preserve">  Stagwell Inc.</w:t>
      </w:r>
    </w:p>
    <w:p>
      <w:pPr>
        <w:spacing w:after="120"/>
      </w:pPr>
      <w:r>
        <w:rPr>
          <w:rFonts w:ascii="Calibri" w:hAnsi="Calibri"/>
          <w:b/>
          <w:color w:val="6E8450"/>
          <w:sz w:val="18"/>
        </w:rPr>
        <w:t>GROWTH SLEEVE · 2026-07-18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Advertising Agencies · NASDAQ · United States</w:t>
      </w:r>
    </w:p>
    <w:p>
      <w:pPr>
        <w:spacing w:after="80"/>
      </w:pPr>
      <w:r>
        <w:rPr>
          <w:rFonts w:ascii="Calibri" w:hAnsi="Calibri"/>
          <w:b w:val="0"/>
          <w:color w:val="3A4A28"/>
          <w:sz w:val="20"/>
        </w:rPr>
        <w:t>Stagwell Inc. is a digital-first marketing services holding company operating a network of 70+ agencies spanning media buying, creative, digital product development, public relations, public affairs, research, and marketing technology, serving over 4,000 blue-chip clients across 40+ countries [1]. Founded in 2015 by Mark Penn and taken public via merger with MDC Partners in 2021; headquartered in New York City. Positions itself as the 'challenger network' to legacy holding companies (WPP, Omnicom, Publicis, IPG).</w:t>
      </w:r>
    </w:p>
    <w:p>
      <w:r>
        <w:rPr>
          <w:rFonts w:ascii="Calibri" w:hAnsi="Calibri"/>
          <w:b/>
          <w:color w:val="6E8450"/>
          <w:sz w:val="18"/>
        </w:rPr>
        <w:t>10,951 Employees · https://www.stagwellglobal.com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Stagwell has delivered record net new business wins ($141M in Q1 2026, $486M over the trailing twelve months) and its Digital Transformation segment posted a two-year organic net revenue stack exceeding 22% growth, while legacy holdcos (WPP, Omnicom, IPG) are cutting thousands of jobs [1][2]. AI Deployment (2/2): 'The Machine,' Stagwell's proprietary AI platform, is targeting up to 15% cost savings and is scheduled for full network rollout in early 2026, backed by ~$20M/quarter of AI investment — a specific, quantified deployment [2]. Market Share (2/2): Stagwell is hiring senior talent directly from Omnicom and IBM while rivals shed staff, and record net new business wins evidence share gains against a consolidating, contracting legacy holdco landscape [2]. Product Pipeline (2/2): The Machine's early-2026 full rollout carries a specific 15% cost-savings target, and the annual internal 'Shark Tank' innovation competition ($1M prizes) has produced shipped AR/AI tools for live events and content [2]. R&amp;D Intensity (1/1): ~$80M annualized AI investment (~2.8% of 2025 net revenue) is well above peer levels, especially as competitors cut technology and headcount spend simultaneously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Stagwell's self-description as 'the challenger network built to transform marketing... to harmonize the art and science of marketing' is specific and differentiated from legacy holdco positioning, though it is still relatively young (public since 2021) and not yet validated across market cycles [1]. Community Impact (0/2): No significant charitable or community investment program was identified in research. Employee Retention (1/2): Actively hiring talent away from Omnicom and IBM while rivals cut thousands of positions is a positive directional signal for employer attractiveness, though no hard tenure or turnover data was found [2]. Insider Buying (2/2): CEO Mark Penn made a specific, dated open-market purchase of 20,000 shares for $117,600 in May 2026, adding to a pattern of prior insider acquisitions and reinforcing founder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weighting (D/E 1x, ROE 2x, Rev YoY 1x, Rev 5yr CAGR 2x, Forward P/E 1x, Profit Margin 1x; Forward PEG unavailable and excluded; total weight 8). Forward P/E of 6.71 is exceptionally cheap and scores a full 1.0, and five-year net revenue CAGR of roughly 18% (from $1.27B in 2021 to $2.43B in 2025) comfortably clears the 10% target (score 1.0, 2x weight) [4]. Q1 2026 total revenue growth of 8% YoY scores 0.93. However, D/E of 229% scores only 0.31, ROE of 2.86% scores just 0.19 (2x weight), and GAAP profit margin of 0.64% scores 0.03 — all reflecting the thin margins typical of an agency holdco still scaling its AI-driven cost structure [4]. Weighted sum 4.66/8 → Infrastructure 6. Liquidity floor easily cleared: 1.47M avg vol × $7.50 = $11.0M.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Stagwell under Mark Penn shows real courage — investing counter-cyclically in AI and talent while legacy rivals retrench — and genuine existential flexibility in having rebuilt itself from the MDC Partners shell into an AI-forward network. But the 'challenger' identity is fundamentally rival-focused rather than cause-driven, and no evidence points to a Just Cause beyond outcompeting WPP and Omnicom.</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Stagwell's self-positioning as 'the challenger network' explicitly defines itself in opposition to legacy holding companies rather than articulating an idealistic, service-oriented cause independent of beating specific rivals — closer to competitive marketing language than a Sinek-style Just Cause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Stagwell is attracting senior talent from Omnicom and IBM at the same time legacy peers are cutting thousands of roles, a positive reputational signal, but no direct tenure, turnover, or psychological-safety data was found to substantiate a genuinely high-trust culture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Stagwell's explicit 'challenger vs. legacy holdco' branding frames WPP, Omnicom, and IPG as incumbents to be displaced rather than worthy rivals whose strengths sharpen Stagwell's own strategy — a finite competitive mindset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2021 merger transforming the struggling MDC Partners into an AI-forward 'challenger network,' and the ongoing rollout of The Machine across the entire agency portfolio, reflect real adaptation, though the underlying business — agency services — remains fundamentally the same category as legacy peers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Investing ~$20M per quarter in AI and actively hiring while WPP, Omnicom, and IPG collectively cut roughly 4,000 positions represents a genuine, sustained counter-cyclical bet on long-term capability over near-term cost optics, with $486M in trailing-twelve-month net new business as early validation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Stagwell is executing a genuine counter-cyclical AI investment strategy while legacy holding companies retrench. Q1 2026 revenue reached $704M (up 8%), with net revenue up 4% — the strongest fiscal first-quarter organic growth in at least four years — adjusted EBITDA up 9% to $90M, and adjusted EPS up 31% to $0.17 [1]. The company reiterated FY2026 guidance of 8-12% total net revenue growth, $475-525M adjusted EBITDA, and 50-60% free cash flow conversion, while record net new business wins ($141M in Q1, $486M LTM) provide forward revenue visibility [1]. At a forward P/E of just 6.71x, the stock is inexpensive relative to its growth and margin targets, and CEO Mark Penn's May 2026 open-market share purchase reinforces insider conviction [3].</w:t>
      </w:r>
    </w:p>
    <w:p>
      <w:pPr>
        <w:spacing w:after="120"/>
      </w:pPr>
      <w:r>
        <w:rPr>
          <w:rFonts w:ascii="Calibri" w:hAnsi="Calibri"/>
          <w:b w:val="0"/>
          <w:color w:val="3A4A28"/>
          <w:sz w:val="20"/>
        </w:rPr>
        <w:t>The bear case centers on leverage, thin margins, and structural AI risk to the agency model itself. D/E of 229% and a GAAP profit margin of just 0.64% leave little cushion if client ad spend softens, and ROE of 2.86% remains weak despite the EPS growth [4]. More fundamentally, generative AI and hyperscaler-built in-house marketing tools threaten to disintermediate agencies broadly — Forrester's 'algorithms of record' thesis and reports of sharp AI-driven stock declines across the advertising sector suggest the risk is structural, not cyclical, and Stagwell's aggressive AI investment is as much a defensive necessity as an offensive advantage [2]. The 'challenger' positioning against WPP and Omnicom is inherently a finite, rival-focused framing rather than a durable Just Cause, raising questions about strategic consistency if the AI arms race compresses agency economics industry-wide.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The Machine's full network rollout in early 2026 delivering toward its 15% cost-savings target, expanding margins from the current sub-1% net level</w:t>
      </w:r>
    </w:p>
    <w:p>
      <w:pPr>
        <w:spacing w:before="40" w:after="40"/>
        <w:ind w:left="283"/>
      </w:pPr>
      <w:r>
        <w:rPr>
          <w:rFonts w:ascii="Calibri" w:hAnsi="Calibri"/>
          <w:b/>
          <w:color w:val="4A6B25"/>
          <w:sz w:val="20"/>
        </w:rPr>
        <w:t xml:space="preserve">2. </w:t>
      </w:r>
      <w:r>
        <w:rPr>
          <w:rFonts w:ascii="Calibri" w:hAnsi="Calibri"/>
          <w:b w:val="0"/>
          <w:color w:val="3A4A28"/>
          <w:sz w:val="20"/>
        </w:rPr>
        <w:t>Continued net new business momentum ($486M LTM) converting into realized revenue against the 8-12% FY2026 net revenue growth guidance</w:t>
      </w:r>
    </w:p>
    <w:p>
      <w:pPr>
        <w:spacing w:before="40" w:after="40"/>
        <w:ind w:left="283"/>
      </w:pPr>
      <w:r>
        <w:rPr>
          <w:rFonts w:ascii="Calibri" w:hAnsi="Calibri"/>
          <w:b/>
          <w:color w:val="4A6B25"/>
          <w:sz w:val="20"/>
        </w:rPr>
        <w:t xml:space="preserve">3. </w:t>
      </w:r>
      <w:r>
        <w:rPr>
          <w:rFonts w:ascii="Calibri" w:hAnsi="Calibri"/>
          <w:b w:val="0"/>
          <w:color w:val="3A4A28"/>
          <w:sz w:val="20"/>
        </w:rPr>
        <w:t>Talent migration from legacy holdcos (Omnicom, WPP, IPG cuts) continuing to strengthen Stagwell's creative and technology bench at low relative cost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AI disintermediation risk — hyperscalers and generative AI tools could allow clients to bring creative, media-buying, and analytics work in-house, compressing agency fees industry-wide regardless of Stagwell's own AI investment</w:t>
      </w:r>
    </w:p>
    <w:p>
      <w:pPr>
        <w:spacing w:before="40" w:after="40"/>
        <w:ind w:left="283"/>
      </w:pPr>
      <w:r>
        <w:rPr>
          <w:rFonts w:ascii="Calibri" w:hAnsi="Calibri"/>
          <w:b/>
          <w:color w:val="4A6B25"/>
          <w:sz w:val="20"/>
        </w:rPr>
        <w:t xml:space="preserve">2. </w:t>
      </w:r>
      <w:r>
        <w:rPr>
          <w:rFonts w:ascii="Calibri" w:hAnsi="Calibri"/>
          <w:b w:val="0"/>
          <w:color w:val="3A4A28"/>
          <w:sz w:val="20"/>
        </w:rPr>
        <w:t>229% debt-to-equity and a 0.64% GAAP profit margin leave minimal cushion against a client ad-spend pullback or economic slowdown</w:t>
      </w:r>
    </w:p>
    <w:p>
      <w:pPr>
        <w:spacing w:before="40" w:after="40"/>
        <w:ind w:left="283"/>
      </w:pPr>
      <w:r>
        <w:rPr>
          <w:rFonts w:ascii="Calibri" w:hAnsi="Calibri"/>
          <w:b/>
          <w:color w:val="4A6B25"/>
          <w:sz w:val="20"/>
        </w:rPr>
        <w:t xml:space="preserve">3. </w:t>
      </w:r>
      <w:r>
        <w:rPr>
          <w:rFonts w:ascii="Calibri" w:hAnsi="Calibri"/>
          <w:b w:val="0"/>
          <w:color w:val="3A4A28"/>
          <w:sz w:val="20"/>
        </w:rPr>
        <w:t>The 'challenger' identity is defined in opposition to legacy holdcos rather than an independent Just Cause, creating risk that strategy shifts reactively as competitors also invest heavily in 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Marketing and advertising agencies face genuine AI substitution risk — generative AI is 'leveling the playing field' on creative execution, and enterprise hyperscalers (Microsoft, Amazon, Google) risk disintermediating agencies as clients build in-house AI data fabrics; Forrester has framed this shift as agencies becoming 'algorithms of record,' with some ad-sector names seeing sharp AI-driven stock declines [2]. Stagwell is adapting faster than peers — hiring AI talent and investing $20M/quarter while rivals cut costs — which partially, but not fully, offsets the structural threat to execution-based agency fees. AI Opportunity (1/1): The Machine is a quantified AI-driven efficiency and new-business-win driver (targeting 15% cost savings), and the Digital Transformation segment (AI-enabled) grew net revenue 9% with a two-year organic stack over 22%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Stagwell Inc. Reports Results for the Three Months Ended March 31, 2026 — stagwellglobal.com, StockTitan, TipRanks, May 2026</w:t>
      </w:r>
    </w:p>
    <w:p>
      <w:pPr>
        <w:spacing w:before="20" w:after="20"/>
        <w:ind w:left="170"/>
      </w:pPr>
      <w:r>
        <w:rPr>
          <w:rFonts w:ascii="Calibri" w:hAnsi="Calibri"/>
          <w:b/>
          <w:color w:val="4A6B25"/>
          <w:sz w:val="15"/>
        </w:rPr>
        <w:t xml:space="preserve">2. </w:t>
      </w:r>
      <w:r>
        <w:rPr>
          <w:rFonts w:ascii="Calibri" w:hAnsi="Calibri"/>
          <w:b w:val="0"/>
          <w:color w:val="3A4A28"/>
          <w:sz w:val="17"/>
        </w:rPr>
        <w:t>Stagwell Hires Top Talent, Invests in AI ('The Machine') as Rivals Cut Back — Storyboard18, eMarketer, Forrester, 2026</w:t>
      </w:r>
    </w:p>
    <w:p>
      <w:pPr>
        <w:spacing w:before="20" w:after="20"/>
        <w:ind w:left="170"/>
      </w:pPr>
      <w:r>
        <w:rPr>
          <w:rFonts w:ascii="Calibri" w:hAnsi="Calibri"/>
          <w:b/>
          <w:color w:val="4A6B25"/>
          <w:sz w:val="15"/>
        </w:rPr>
        <w:t xml:space="preserve">3. </w:t>
      </w:r>
      <w:r>
        <w:rPr>
          <w:rFonts w:ascii="Calibri" w:hAnsi="Calibri"/>
          <w:b w:val="0"/>
          <w:color w:val="3A4A28"/>
          <w:sz w:val="17"/>
        </w:rPr>
        <w:t>Stagwell CEO Mark Penn Insider Stock Purchases — Investing.com, StockTitan, May 2026</w:t>
      </w:r>
    </w:p>
    <w:p>
      <w:pPr>
        <w:spacing w:before="20" w:after="20"/>
        <w:ind w:left="170"/>
      </w:pPr>
      <w:r>
        <w:rPr>
          <w:rFonts w:ascii="Calibri" w:hAnsi="Calibri"/>
          <w:b/>
          <w:color w:val="4A6B25"/>
          <w:sz w:val="15"/>
        </w:rPr>
        <w:t xml:space="preserve">4. </w:t>
      </w:r>
      <w:r>
        <w:rPr>
          <w:rFonts w:ascii="Calibri" w:hAnsi="Calibri"/>
          <w:b w:val="0"/>
          <w:color w:val="3A4A28"/>
          <w:sz w:val="17"/>
        </w:rPr>
        <w:t>Stagwell Inc. (STGW) Revenue History and Stock Statistics — StockAnalysis.com, MacroTrends, WallStreetZen,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